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/>
      </w:pPr>
      <w:r>
        <w:rPr>
          <w:rFonts w:ascii="Arial Narrow" w:hAnsi="Arial Narrow"/>
          <w:b/>
          <w:bCs/>
          <w:sz w:val="40"/>
          <w:szCs w:val="40"/>
          <w:lang w:val="es-ES"/>
        </w:rPr>
        <w:t xml:space="preserve">El Gobierno cumple su compromiso de reabrir la </w:t>
      </w:r>
      <w:r>
        <w:rPr>
          <w:rFonts w:ascii="Arial Narrow" w:hAnsi="Arial Narrow"/>
          <w:b/>
          <w:bCs/>
          <w:sz w:val="40"/>
          <w:szCs w:val="40"/>
          <w:lang w:val="es-ES"/>
        </w:rPr>
        <w:t>p</w:t>
      </w:r>
      <w:r>
        <w:rPr>
          <w:rFonts w:ascii="Arial Narrow" w:hAnsi="Arial Narrow"/>
          <w:b/>
          <w:bCs/>
          <w:sz w:val="40"/>
          <w:szCs w:val="40"/>
          <w:lang w:val="es-ES"/>
        </w:rPr>
        <w:t xml:space="preserve">laza Rafael Rivero y el entorno de </w:t>
      </w:r>
      <w:r>
        <w:rPr>
          <w:rFonts w:ascii="Arial Narrow" w:hAnsi="Arial Narrow"/>
          <w:b/>
          <w:bCs/>
          <w:sz w:val="40"/>
          <w:szCs w:val="40"/>
          <w:lang w:val="es-ES"/>
        </w:rPr>
        <w:t>p</w:t>
      </w:r>
      <w:r>
        <w:rPr>
          <w:rFonts w:ascii="Arial Narrow" w:hAnsi="Arial Narrow"/>
          <w:b/>
          <w:bCs/>
          <w:sz w:val="40"/>
          <w:szCs w:val="40"/>
          <w:lang w:val="es-ES"/>
        </w:rPr>
        <w:t xml:space="preserve">laza San Juan antes de Semana Santa </w:t>
      </w:r>
    </w:p>
    <w:p>
      <w:pPr>
        <w:pStyle w:val="Normal"/>
        <w:jc w:val="left"/>
        <w:rPr>
          <w:rFonts w:ascii="Arial Narrow" w:hAnsi="Arial Narrow"/>
          <w:b w:val="false"/>
          <w:b w:val="false"/>
          <w:bCs w:val="false"/>
          <w:sz w:val="40"/>
          <w:szCs w:val="40"/>
          <w:lang w:val="es-ES"/>
        </w:rPr>
      </w:pPr>
      <w:r>
        <w:rPr>
          <w:rFonts w:ascii="Arial Narrow" w:hAnsi="Arial Narrow"/>
          <w:b w:val="false"/>
          <w:bCs w:val="false"/>
          <w:sz w:val="40"/>
          <w:szCs w:val="40"/>
          <w:lang w:val="es-ES"/>
        </w:rPr>
        <w:t>Las obras del eje viario Puerta Sevilla-Puerta Santiago, en estos dos tramos, están prácticamente finalizadas a falta de repasos que se llevarán a cabo después del evento festivo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lang w:val="es-ES"/>
        </w:rPr>
        <w:t>7 de abril de 2025.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Las obras de reurbanización del eje viario Puerta Sevilla-Puerta Santiago, en sus tramos de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p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laza San Juan y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p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laza Rivero, están prácticamente finalizadas a falta de una serie de repasos que se llevarán a cabo después de Semana Santa para no obstaculizar el paso de las hermandades y facilitar el tránsito peatonal durante el periodo festivo. 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De esta forma, y tal y como subraya el primer teniente de alcaldesa, Agustín Muñoz, “el Gobierno cumple su compromiso de reabrir ambos enclaves a principios de abril para no obstaculizar el paso de las hermandades y facilitar el tránsito rodado y peatonal por estas calles”. Cabe recordar que el tercer tramo de este proyecto, centrado en la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p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laza de San Marcos, ya está finalizado. 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El Servicio de Movilidad procedió el pasado viernes a la reapertura del tráfico rodado en las calles Francos, Oliva y San Juan, y en el día de hoy se ha hecho esta misma acción en las calles Chancillería, en el sentido habitual desde Porvera a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p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laza de San Juan, y en Tornería y San Marcos. Para ello, se han retirado las vallas de obras y los semáforos provisionales de circulación alterna, y se ha vuelto a colocar la señalización vertical habitual. 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La delegada de Urbanismo y Vivienda, Belén de la Cuadra, ha explicado que los técnicos de la dirección facultativa de las obras han realizado visitas prácticamente diarias a las mismas para comprobar su estado y mantener un contacto permanente con la empresa adjudicataria para que agilizasen los trabajos y cumpliesen con los compromisos adquiridos. </w:t>
      </w:r>
    </w:p>
    <w:p>
      <w:pPr>
        <w:pStyle w:val="Cuerpodetexto"/>
        <w:bidi w:val="0"/>
        <w:spacing w:lineRule="auto" w:line="240"/>
        <w:jc w:val="both"/>
        <w:rPr/>
      </w:pPr>
      <w:r>
        <w:rPr>
          <w:rFonts w:cs="Gadugi" w:ascii="Arial Narrow" w:hAnsi="Arial Narrow"/>
          <w:sz w:val="26"/>
          <w:szCs w:val="26"/>
        </w:rPr>
        <w:t>Las obras de reordenación y urbaniz</w:t>
      </w:r>
      <w:r>
        <w:rPr>
          <w:rFonts w:cs="Gadugi" w:ascii="Arial Narrow" w:hAnsi="Arial Narrow"/>
          <w:b w:val="false"/>
          <w:bCs w:val="false"/>
          <w:sz w:val="26"/>
          <w:szCs w:val="26"/>
        </w:rPr>
        <w:t xml:space="preserve">ación del </w:t>
      </w:r>
      <w:r>
        <w:rPr>
          <w:rStyle w:val="Strong"/>
          <w:rFonts w:cs="Gadugi" w:ascii="Arial Narrow" w:hAnsi="Arial Narrow"/>
          <w:b w:val="false"/>
          <w:bCs w:val="false"/>
          <w:sz w:val="26"/>
          <w:szCs w:val="26"/>
        </w:rPr>
        <w:t>Eje viario Puerta Sevilla-Puerta Santiago</w:t>
      </w:r>
      <w:r>
        <w:rPr>
          <w:rFonts w:cs="Gadugi" w:ascii="Arial Narrow" w:hAnsi="Arial Narrow"/>
          <w:b w:val="false"/>
          <w:bCs w:val="false"/>
          <w:sz w:val="26"/>
          <w:szCs w:val="26"/>
        </w:rPr>
        <w:t xml:space="preserve">, 1ª fase, han tenido un importe de 677.368,99 euros, financiados en el marco del Plan Europeo de Recuperación, Transformación y Resilencia, financiado con los Fondos Europeos Next Generation EU. Han sido ejecutadas por la empresa Jaralia Integral S.L y se dividieron en tres desglosados de obras correspondientes a tres tramos del citado eje. </w:t>
      </w:r>
    </w:p>
    <w:p>
      <w:pPr>
        <w:pStyle w:val="Cuerpodetexto"/>
        <w:bidi w:val="0"/>
        <w:spacing w:lineRule="auto" w:line="240"/>
        <w:jc w:val="both"/>
        <w:rPr/>
      </w:pPr>
      <w:r>
        <w:rPr>
          <w:rFonts w:cs="Gadugi" w:ascii="Arial Narrow" w:hAnsi="Arial Narrow"/>
          <w:sz w:val="26"/>
          <w:szCs w:val="26"/>
        </w:rPr>
        <w:t xml:space="preserve">El primer desglosado ha comprendido la terminación de la obra parcialmente ejecutada y sin pavimentar de la calle Oliva, la ejecución de una zona comprendida en el nudo de </w:t>
      </w:r>
      <w:r>
        <w:rPr>
          <w:rFonts w:cs="Gadugi" w:ascii="Arial Narrow" w:hAnsi="Arial Narrow"/>
          <w:sz w:val="26"/>
          <w:szCs w:val="26"/>
        </w:rPr>
        <w:t>p</w:t>
      </w:r>
      <w:r>
        <w:rPr>
          <w:rFonts w:cs="Gadugi" w:ascii="Arial Narrow" w:hAnsi="Arial Narrow"/>
          <w:sz w:val="26"/>
          <w:szCs w:val="26"/>
        </w:rPr>
        <w:t xml:space="preserve">laza San Juan, y el inicio de las calles Francos, Chancillería y San Juan de los Caballeros. Su importe ha ascendido a 319.936,77 euros. </w:t>
      </w:r>
    </w:p>
    <w:p>
      <w:pPr>
        <w:pStyle w:val="Cuerpodetexto"/>
        <w:bidi w:val="0"/>
        <w:spacing w:lineRule="auto" w:line="240"/>
        <w:jc w:val="both"/>
        <w:rPr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  <w:t xml:space="preserve">El segundo desglosado se ha centrado en el tramo comprendido entre la </w:t>
      </w:r>
      <w:r>
        <w:rPr>
          <w:rFonts w:cs="Gadugi" w:ascii="Arial Narrow" w:hAnsi="Arial Narrow"/>
          <w:sz w:val="26"/>
          <w:szCs w:val="26"/>
        </w:rPr>
        <w:t>p</w:t>
      </w:r>
      <w:r>
        <w:rPr>
          <w:rFonts w:cs="Gadugi" w:ascii="Arial Narrow" w:hAnsi="Arial Narrow"/>
          <w:sz w:val="26"/>
          <w:szCs w:val="26"/>
        </w:rPr>
        <w:t xml:space="preserve">laza Rafael Rivero, comienzo de Tornería (frente al hotel Casa Palacio María Luisa), concluyendo en el inicio de la </w:t>
      </w:r>
      <w:r>
        <w:rPr>
          <w:rFonts w:cs="Gadugi" w:ascii="Arial Narrow" w:hAnsi="Arial Narrow"/>
          <w:sz w:val="26"/>
          <w:szCs w:val="26"/>
        </w:rPr>
        <w:t>p</w:t>
      </w:r>
      <w:r>
        <w:rPr>
          <w:rFonts w:cs="Gadugi" w:ascii="Arial Narrow" w:hAnsi="Arial Narrow"/>
          <w:sz w:val="26"/>
          <w:szCs w:val="26"/>
        </w:rPr>
        <w:t>laza San Marcos, junto al edificio de la antigua Fundación Teresa Rivero. En este caso, su presupuesto ha sido de 244.435,98 euros.</w:t>
      </w:r>
    </w:p>
    <w:p>
      <w:pPr>
        <w:pStyle w:val="Cuerpodetexto"/>
        <w:bidi w:val="0"/>
        <w:spacing w:lineRule="auto" w:line="240"/>
        <w:jc w:val="both"/>
        <w:rPr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  <w:t xml:space="preserve">El tercer desglosado, con un valor de 205.364,75 euros, ha comprendido actuaciones que parten de lo ya ejecutado en el apartado anterior, y se han prolongado hasta la parte de la </w:t>
      </w:r>
      <w:r>
        <w:rPr>
          <w:rFonts w:cs="Gadugi" w:ascii="Arial Narrow" w:hAnsi="Arial Narrow"/>
          <w:sz w:val="26"/>
          <w:szCs w:val="26"/>
        </w:rPr>
        <w:t>p</w:t>
      </w:r>
      <w:r>
        <w:rPr>
          <w:rFonts w:cs="Gadugi" w:ascii="Arial Narrow" w:hAnsi="Arial Narrow"/>
          <w:sz w:val="26"/>
          <w:szCs w:val="26"/>
        </w:rPr>
        <w:t xml:space="preserve">laza San Marcos que ya está en plataforma única. </w:t>
      </w:r>
    </w:p>
    <w:p>
      <w:pPr>
        <w:pStyle w:val="Cuerpodetexto"/>
        <w:bidi w:val="0"/>
        <w:spacing w:lineRule="auto" w:line="240"/>
        <w:jc w:val="both"/>
        <w:rPr>
          <w:b/>
          <w:b/>
          <w:bCs/>
        </w:rPr>
      </w:pPr>
      <w:r>
        <w:rPr>
          <w:rFonts w:cs="Gadugi" w:ascii="Arial Narrow" w:hAnsi="Arial Narrow"/>
          <w:b/>
          <w:bCs/>
          <w:sz w:val="26"/>
          <w:szCs w:val="26"/>
        </w:rPr>
        <w:t>Plaza del Mercado</w:t>
      </w:r>
    </w:p>
    <w:p>
      <w:pPr>
        <w:pStyle w:val="Cuerpodetexto"/>
        <w:bidi w:val="0"/>
        <w:spacing w:lineRule="auto" w:line="240"/>
        <w:jc w:val="both"/>
        <w:rPr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  <w:t xml:space="preserve">En relación a las obras de reurbanización de la </w:t>
      </w:r>
      <w:r>
        <w:rPr>
          <w:rFonts w:cs="Gadugi" w:ascii="Arial Narrow" w:hAnsi="Arial Narrow"/>
          <w:sz w:val="26"/>
          <w:szCs w:val="26"/>
        </w:rPr>
        <w:t>p</w:t>
      </w:r>
      <w:r>
        <w:rPr>
          <w:rFonts w:cs="Gadugi" w:ascii="Arial Narrow" w:hAnsi="Arial Narrow"/>
          <w:sz w:val="26"/>
          <w:szCs w:val="26"/>
        </w:rPr>
        <w:t xml:space="preserve">laza del Mercado, Belén de la Cuadra ha informado de que los trabajos siguen su curso y que está previsto que este viernes se abran pasos peatonales en las calles que bordean el Palacio Riquelme (Alegría y Cordobeses) para que se pueda transitar a pie desde cualquiera de las calles que rodean o desembocan en la </w:t>
      </w:r>
      <w:r>
        <w:rPr>
          <w:rFonts w:cs="Gadugi" w:ascii="Arial Narrow" w:hAnsi="Arial Narrow"/>
          <w:sz w:val="26"/>
          <w:szCs w:val="26"/>
        </w:rPr>
        <w:t>p</w:t>
      </w:r>
      <w:r>
        <w:rPr>
          <w:rFonts w:cs="Gadugi" w:ascii="Arial Narrow" w:hAnsi="Arial Narrow"/>
          <w:sz w:val="26"/>
          <w:szCs w:val="26"/>
        </w:rPr>
        <w:t xml:space="preserve">laza del Mercado. Asimismo, las distintas hermandades que procesionan por este entorno podrán hacer su recorrido con normalidad. </w:t>
      </w:r>
    </w:p>
    <w:p>
      <w:pPr>
        <w:pStyle w:val="Cuerpodetexto"/>
        <w:bidi w:val="0"/>
        <w:spacing w:lineRule="auto" w:line="240"/>
        <w:jc w:val="both"/>
        <w:rPr>
          <w:rFonts w:ascii="Arial Narrow" w:hAnsi="Arial Narrow" w:cs="Gadugi"/>
          <w:i/>
          <w:i/>
          <w:iCs/>
          <w:sz w:val="26"/>
          <w:szCs w:val="26"/>
        </w:rPr>
      </w:pPr>
      <w:r>
        <w:rPr>
          <w:rFonts w:cs="Gadugi" w:ascii="Arial Narrow" w:hAnsi="Arial Narrow"/>
          <w:i/>
          <w:iCs/>
          <w:sz w:val="26"/>
          <w:szCs w:val="26"/>
        </w:rPr>
        <w:t>(Se adjunta fotografía)</w:t>
      </w:r>
    </w:p>
    <w:p>
      <w:pPr>
        <w:pStyle w:val="Cuerpodetexto"/>
        <w:bidi w:val="0"/>
        <w:spacing w:lineRule="auto" w:line="240" w:before="0" w:after="140"/>
        <w:jc w:val="both"/>
        <w:rPr>
          <w:rFonts w:ascii="Arial Narrow" w:hAnsi="Arial Narrow" w:cs="Gadugi"/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</w:r>
    </w:p>
    <w:p>
      <w:pPr>
        <w:pStyle w:val="Cuerpodetexto"/>
        <w:bidi w:val="0"/>
        <w:spacing w:lineRule="auto" w:line="240" w:before="0" w:after="140"/>
        <w:jc w:val="both"/>
        <w:rPr>
          <w:rFonts w:ascii="Arial Narrow" w:hAnsi="Arial Narrow" w:cs="Gadugi"/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</w:r>
    </w:p>
    <w:p>
      <w:pPr>
        <w:pStyle w:val="Cuerpodetexto"/>
        <w:bidi w:val="0"/>
        <w:spacing w:lineRule="auto" w:line="240" w:before="0" w:after="140"/>
        <w:jc w:val="both"/>
        <w:rPr>
          <w:rFonts w:ascii="Arial Narrow" w:hAnsi="Arial Narrow" w:cs="Gadugi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qFormat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Muydestacado">
    <w:name w:val="Muy destacado"/>
    <w:qFormat/>
    <w:rPr>
      <w:b/>
      <w:bCs/>
    </w:rPr>
  </w:style>
  <w:style w:type="character" w:styleId="Fuentedeprrafopredeter5">
    <w:name w:val="Fuente de párrafo predeter.5"/>
    <w:qFormat/>
    <w:rPr/>
  </w:style>
  <w:style w:type="character" w:styleId="Refdecomentario1">
    <w:name w:val="Ref. de comentario1"/>
    <w:qFormat/>
    <w:rPr>
      <w:sz w:val="16"/>
      <w:szCs w:val="16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Gmailuficommentbody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8z3">
    <w:name w:val="WW8Num8z3"/>
    <w:qFormat/>
    <w:rPr>
      <w:rFonts w:ascii="Wingdings" w:hAnsi="Wingdings" w:cs="Wingdings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Nfasis1">
    <w:name w:val="Énfasis1"/>
    <w:qFormat/>
    <w:rPr>
      <w:i/>
      <w:iCs/>
    </w:rPr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>
    <w:name w:val="WW-Destaque mayor"/>
    <w:qFormat/>
    <w:rPr>
      <w:b/>
      <w:bCs/>
    </w:rPr>
  </w:style>
  <w:style w:type="character" w:styleId="MquinadeescribirHTML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Ins">
    <w:name w:val="ins"/>
    <w:qFormat/>
    <w:rPr/>
  </w:style>
  <w:style w:type="character" w:styleId="S7">
    <w:name w:val="s7"/>
    <w:qFormat/>
    <w:rPr/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>
    <w:name w:val="g2"/>
    <w:qFormat/>
    <w:rPr/>
  </w:style>
  <w:style w:type="character" w:styleId="Hb">
    <w:name w:val="hb"/>
    <w:qFormat/>
    <w:rPr/>
  </w:style>
  <w:style w:type="character" w:styleId="G3">
    <w:name w:val="g3"/>
    <w:qFormat/>
    <w:rPr/>
  </w:style>
  <w:style w:type="character" w:styleId="Gd">
    <w:name w:val="gd"/>
    <w:qFormat/>
    <w:rPr/>
  </w:style>
  <w:style w:type="character" w:styleId="Qu">
    <w:name w:val="qu"/>
    <w:qFormat/>
    <w:rPr/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Hipervnculo1">
    <w:name w:val="Hipervínculo1"/>
    <w:qFormat/>
    <w:rPr>
      <w:color w:val="0563C1"/>
      <w:u w:val="single"/>
    </w:rPr>
  </w:style>
  <w:style w:type="character" w:styleId="Rojo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>
    <w:name w:val="Fuente de párrafo predeter.2"/>
    <w:qFormat/>
    <w:rPr/>
  </w:style>
  <w:style w:type="character" w:styleId="Fuentedeprrafopredeter3">
    <w:name w:val="Fuente de párrafo predeter.3"/>
    <w:qFormat/>
    <w:rPr/>
  </w:style>
  <w:style w:type="character" w:styleId="Fuentedeprrafopredeter4">
    <w:name w:val="Fuente de párrafo predeter.4"/>
    <w:qFormat/>
    <w:rPr/>
  </w:style>
  <w:style w:type="character" w:styleId="Fuentedeprrafopredeter6">
    <w:name w:val="Fuente de párrafo predeter.6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Symbol" w:hAnsi="Symbol" w:cs="Open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OpenSymbol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>
    <w:name w:val="Fuente de párrafo predeter.7"/>
    <w:qFormat/>
    <w:rPr/>
  </w:style>
  <w:style w:type="character" w:styleId="Fuentedeprrafopredeter8">
    <w:name w:val="Fuente de párrafo predeter.8"/>
    <w:qFormat/>
    <w:rPr/>
  </w:style>
  <w:style w:type="character" w:styleId="Fuentedeprrafopredeter9">
    <w:name w:val="Fuente de párrafo predeter.9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ablanormal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angra2detindependiente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Cita1">
    <w:name w:val="Cita1"/>
    <w:basedOn w:val="Normal"/>
    <w:qFormat/>
    <w:pPr>
      <w:spacing w:before="0" w:after="283"/>
      <w:ind w:left="567" w:right="567" w:hanging="0"/>
    </w:pPr>
    <w:rPr/>
  </w:style>
  <w:style w:type="paragraph" w:styleId="P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>
    <w:name w:val="Encabezamiento izquierdo"/>
    <w:basedOn w:val="Normal"/>
    <w:qFormat/>
    <w:pPr/>
    <w:rPr/>
  </w:style>
  <w:style w:type="paragraph" w:styleId="Encabezamiento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uerpo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</w:rPr>
  </w:style>
  <w:style w:type="paragraph" w:styleId="Epgrafe1">
    <w:name w:val="Epígrafe1"/>
    <w:basedOn w:val="Normal"/>
    <w:qFormat/>
    <w:pPr>
      <w:spacing w:before="120" w:after="120"/>
    </w:pPr>
    <w:rPr>
      <w:i/>
      <w:iCs/>
    </w:rPr>
  </w:style>
  <w:style w:type="paragraph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>
    <w:name w:val="Epígrafe2"/>
    <w:basedOn w:val="Normal"/>
    <w:qFormat/>
    <w:pPr>
      <w:spacing w:before="120" w:after="120"/>
    </w:pPr>
    <w:rPr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Encabezado21">
    <w:name w:val="Encabezado 2"/>
    <w:basedOn w:val="Normal"/>
    <w:next w:val="Normal"/>
    <w:qFormat/>
    <w:pPr>
      <w:keepNext w:val="true"/>
      <w:ind w:firstLine="709"/>
      <w:outlineLvl w:val="1"/>
    </w:pPr>
    <w:rPr>
      <w:b/>
      <w:sz w:val="24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LibreOffice/7.3.6.2$Windows_X86_64 LibreOffice_project/c28ca90fd6e1a19e189fc16c05f8f8924961e12e</Application>
  <AppVersion>15.0000</AppVersion>
  <Pages>2</Pages>
  <Words>611</Words>
  <Characters>3060</Characters>
  <CharactersWithSpaces>3669</CharactersWithSpaces>
  <Paragraphs>17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Vega Soto</dc:creator>
  <dc:description/>
  <dc:language>es-ES</dc:language>
  <cp:lastModifiedBy/>
  <cp:lastPrinted>2025-04-07T12:16:14Z</cp:lastPrinted>
  <dcterms:modified xsi:type="dcterms:W3CDTF">2025-04-07T12:48:25Z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