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La alcaldesa destaca la gran aportación a la cultura, </w:t>
      </w:r>
      <w:r>
        <w:rPr>
          <w:rFonts w:ascii="Arial Narrow" w:hAnsi="Arial Narrow"/>
          <w:b/>
          <w:bCs/>
          <w:sz w:val="40"/>
          <w:szCs w:val="40"/>
        </w:rPr>
        <w:t xml:space="preserve">a </w:t>
      </w:r>
      <w:r>
        <w:rPr>
          <w:rFonts w:ascii="Arial Narrow" w:hAnsi="Arial Narrow"/>
          <w:b/>
          <w:bCs/>
          <w:sz w:val="40"/>
          <w:szCs w:val="40"/>
        </w:rPr>
        <w:t xml:space="preserve">la Semana Santa y </w:t>
      </w:r>
      <w:r>
        <w:rPr>
          <w:rFonts w:ascii="Arial Narrow" w:hAnsi="Arial Narrow"/>
          <w:b/>
          <w:bCs/>
          <w:sz w:val="40"/>
          <w:szCs w:val="40"/>
        </w:rPr>
        <w:t xml:space="preserve">a </w:t>
      </w:r>
      <w:r>
        <w:rPr>
          <w:rFonts w:ascii="Arial Narrow" w:hAnsi="Arial Narrow"/>
          <w:b/>
          <w:bCs/>
          <w:sz w:val="40"/>
          <w:szCs w:val="40"/>
        </w:rPr>
        <w:t>la promoción de Jerez del documental ‘Quedan… La Pasión en Jerez’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María José García-Pelayo asiste en el Teatro Cajasol al estreno de este documental dirigido por José Melero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 de abril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ha felicitado a José Melero y a todo su equipo por el estreno del largometraje-documental ‘Quedan… la Pasión en Jerez’ celebrado este martes en el Teatro de la Fundación Cajasol. 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 xml:space="preserve">María José </w:t>
      </w:r>
      <w:r>
        <w:rPr>
          <w:rFonts w:ascii="Arial Narrow" w:hAnsi="Arial Narrow"/>
          <w:sz w:val="26"/>
          <w:szCs w:val="26"/>
        </w:rPr>
        <w:t xml:space="preserve">García-Pelayo, que acudió acompañada de los tenientes de alcaldesa Agustín Muñoz y Jaime Espinar, y del delegado de Cultura y Fiestas, Francisco Zurita, ha destacado la gran aportación que esta producción audiovisual de primer nivel supone para la Semana Santa de Jerez, pero también para la </w:t>
      </w:r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>ultura de la ciudad y la promoción.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Durante su intervención, la regidora ha dado la enhorabuena al director, José Melero, por haber captado y transmitido la esencia de la Semana Santa de Jerez, su autenticidad y carácter único, al tiempo que ha felicitado a Andrés Cañadas Salguero por su gui</w:t>
      </w:r>
      <w:r>
        <w:rPr>
          <w:rFonts w:ascii="Arial Narrow" w:hAnsi="Arial Narrow"/>
          <w:sz w:val="26"/>
          <w:szCs w:val="26"/>
        </w:rPr>
        <w:t>ó</w:t>
      </w:r>
      <w:r>
        <w:rPr>
          <w:rFonts w:ascii="Arial Narrow" w:hAnsi="Arial Narrow"/>
          <w:sz w:val="26"/>
          <w:szCs w:val="26"/>
        </w:rPr>
        <w:t>n que asemeja la Pasión de Cristo con la vida de un joven enfermo en un hospital acompañado por su madre. También tuvo palabras de felicitación para Inmaculada Cáliz y Pepe Marín por la emoción impregnada a los textos leídos por ambos y que sirven de hilo conductor del largometraje así como a María Vega por su interpretación del papel de madre que cuida y acompaña a su hijo enfermo en el hospital.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El largometraje-documental “Quedan… la Pasión en Jerez” comenzó a rodarse en 2016 por José Melero y su productora Handa Movies y recoge imágenes grabadas en alta calidad de todas las hermandades de Jerez ordenadas según la Pasión de Jesús.</w:t>
      </w:r>
    </w:p>
    <w:p>
      <w:pPr>
        <w:pStyle w:val="Normal"/>
        <w:jc w:val="both"/>
        <w:rPr/>
      </w:pPr>
      <w:r>
        <w:rPr>
          <w:rFonts w:ascii="Arial Narrow" w:hAnsi="Arial Narrow"/>
          <w:sz w:val="26"/>
          <w:szCs w:val="26"/>
        </w:rPr>
        <w:t>María José García-Pelayo agradeció a la Unión de Hermandades y a su presidente, José Manuel García Cordero, su papel esencial para que, finalmente, se haya podido culminar y presentar este largometraje así como a Fundación Cajasol y a Aquajerez por su patrocinio.</w:t>
      </w:r>
    </w:p>
    <w:p>
      <w:pPr>
        <w:pStyle w:val="Normal"/>
        <w:spacing w:before="0" w:after="200"/>
        <w:jc w:val="both"/>
        <w:rPr/>
      </w:pPr>
      <w:bookmarkStart w:id="1" w:name="_GoBack"/>
      <w:bookmarkEnd w:id="1"/>
      <w:r>
        <w:rPr>
          <w:rFonts w:ascii="Arial Narrow" w:hAnsi="Arial Narrow"/>
          <w:sz w:val="26"/>
          <w:szCs w:val="26"/>
        </w:rPr>
        <w:t>(Se adjuntan fotografías)</w:t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 w:customStyle="1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" w:customStyle="1">
    <w:name w:val="caption1"/>
    <w:basedOn w:val="Normal"/>
    <w:qFormat/>
    <w:pPr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2b3ff1"/>
    <w:pPr>
      <w:widowControl w:val="false"/>
      <w:spacing w:before="0" w:after="0"/>
      <w:ind w:left="720" w:hanging="0"/>
      <w:contextualSpacing/>
    </w:pPr>
    <w:rPr>
      <w:rFonts w:ascii="Arial" w:hAnsi="Arial" w:eastAsia="Arial" w:cs="Arial"/>
      <w:color w:val="auto"/>
      <w:sz w:val="22"/>
      <w:szCs w:val="22"/>
    </w:rPr>
  </w:style>
  <w:style w:type="paragraph" w:styleId="TableParagraph" w:customStyle="1">
    <w:name w:val="Table Paragraph"/>
    <w:basedOn w:val="Normal"/>
    <w:uiPriority w:val="1"/>
    <w:qFormat/>
    <w:rsid w:val="002b3ff1"/>
    <w:pPr>
      <w:widowControl w:val="false"/>
      <w:spacing w:before="16" w:after="0"/>
      <w:ind w:left="107" w:hanging="0"/>
    </w:pPr>
    <w:rPr>
      <w:rFonts w:ascii="Calibri" w:hAnsi="Calibri" w:eastAsia="Calibri" w:cs="Calibri"/>
      <w:color w:val="auto"/>
      <w:sz w:val="22"/>
      <w:szCs w:val="22"/>
    </w:rPr>
  </w:style>
  <w:style w:type="paragraph" w:styleId="Paragraphatom" w:customStyle="1">
    <w:name w:val="paragraph-atom"/>
    <w:basedOn w:val="Normal"/>
    <w:uiPriority w:val="99"/>
    <w:qFormat/>
    <w:rsid w:val="002b3ff1"/>
    <w:pPr>
      <w:suppressAutoHyphens w:val="false"/>
      <w:spacing w:beforeAutospacing="1" w:afterAutospacing="1"/>
    </w:pPr>
    <w:rPr>
      <w:rFonts w:ascii="Times New Roman" w:hAnsi="Times New Roman" w:eastAsia="Calibri" w:eastAsiaTheme="minorHAnsi"/>
      <w:color w:val="auto"/>
      <w:lang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2b3ff1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LibreOffice/7.3.6.2$Windows_X86_64 LibreOffice_project/c28ca90fd6e1a19e189fc16c05f8f8924961e12e</Application>
  <AppVersion>15.0000</AppVersion>
  <Pages>1</Pages>
  <Words>339</Words>
  <Characters>1687</Characters>
  <CharactersWithSpaces>2021</CharactersWithSpaces>
  <Paragraphs>12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2025-04-02T08:04:00Z</dcterms:created>
  <dc:creator>José María Vega Soto</dc:creator>
  <dc:description/>
  <dc:language>es-ES</dc:language>
  <cp:lastModifiedBy/>
  <dcterms:modified xsi:type="dcterms:W3CDTF">2025-04-02T11:33:56Z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