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cs="Arial Narrow"/>
          <w:b/>
          <w:bCs/>
          <w:sz w:val="40"/>
          <w:szCs w:val="40"/>
        </w:rPr>
      </w:pPr>
      <w:r>
        <w:rPr>
          <w:rStyle w:val="Nfasis1"/>
          <w:rFonts w:cs="Arial Narrow" w:ascii="Arial Narrow" w:hAnsi="Arial Narrow"/>
          <w:i w:val="false"/>
          <w:sz w:val="32"/>
          <w:szCs w:val="32"/>
          <w:u w:val="single"/>
        </w:rPr>
        <w:t>Mesa del Centro Histórico</w:t>
      </w:r>
    </w:p>
    <w:p>
      <w:pPr>
        <w:pStyle w:val="Normal"/>
        <w:jc w:val="both"/>
        <w:rPr>
          <w:rFonts w:ascii="Arial Narrow" w:hAnsi="Arial Narrow" w:eastAsia="Tahoma" w:cs="Gadugi"/>
          <w:color w:val="000000"/>
          <w:sz w:val="26"/>
          <w:szCs w:val="26"/>
        </w:rPr>
      </w:pPr>
      <w:r>
        <w:rPr>
          <w:rFonts w:eastAsia="Tahoma" w:cs="Gadugi" w:ascii="Arial Narrow" w:hAnsi="Arial Narrow"/>
          <w:color w:val="000000"/>
          <w:sz w:val="26"/>
          <w:szCs w:val="26"/>
        </w:rPr>
      </w:r>
    </w:p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Gobierno informa sobre la propuesta de traslado del Archivo Municipal a las antiguas bodegas de Díez Mérito</w:t>
      </w:r>
    </w:p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El orden del día ha incluido, entre otros asuntos de interés para el centro histórico, el Plan EDIL, la Ayuda del 2% Cultural, la nueva regulación de zambombas y de viviendas de uso turístico, el Plan Jerez Centro y el Registro de Solares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4 de febrero de 2025</w:t>
      </w:r>
      <w:r>
        <w:rPr>
          <w:rFonts w:ascii="Arial Narrow" w:hAnsi="Arial Narrow"/>
          <w:sz w:val="26"/>
          <w:szCs w:val="26"/>
        </w:rPr>
        <w:t xml:space="preserve">. La Mesa del Centro Histórico, presidida por el teniente de alcaldesa de Presidencia y Centro Histórico, junto al teniente de alcaldesa de Servicios Públicos, Jaime Espinar, ha celebrado su 5ª sesión que ha contado con la presencia de representantes de decenas de colectivos y sectores profesionales diversos, y a la que han asistido también las delegadas municipales Nela García y Carmen Pina.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la sesión, se han expuesto y debatido con profundidad los asuntos que se han ido trabajando en las Comisiones Técnicas de seguimiento,</w:t>
      </w:r>
      <w:r>
        <w:rPr>
          <w:rFonts w:ascii="Arial Narrow" w:hAnsi="Arial Narrow"/>
          <w:spacing w:val="-16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celebradas</w:t>
      </w:r>
      <w:r>
        <w:rPr>
          <w:rFonts w:ascii="Arial Narrow" w:hAnsi="Arial Narrow"/>
          <w:spacing w:val="-12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en noviembre</w:t>
      </w:r>
      <w:r>
        <w:rPr>
          <w:rFonts w:ascii="Arial Narrow" w:hAnsi="Arial Narrow"/>
          <w:spacing w:val="-14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</w:t>
      </w:r>
      <w:r>
        <w:rPr>
          <w:rFonts w:ascii="Arial Narrow" w:hAnsi="Arial Narrow"/>
          <w:spacing w:val="-14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2024</w:t>
      </w:r>
      <w:r>
        <w:rPr>
          <w:rFonts w:ascii="Arial Narrow" w:hAnsi="Arial Narrow"/>
          <w:spacing w:val="-15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</w:t>
      </w:r>
      <w:r>
        <w:rPr>
          <w:rFonts w:ascii="Arial Narrow" w:hAnsi="Arial Narrow"/>
          <w:spacing w:val="-11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enero</w:t>
      </w:r>
      <w:r>
        <w:rPr>
          <w:rFonts w:ascii="Arial Narrow" w:hAnsi="Arial Narrow"/>
          <w:spacing w:val="-28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pasado, entre los que figuran el estado actual de tramitación del </w:t>
      </w:r>
      <w:r>
        <w:rPr>
          <w:rFonts w:ascii="Arial Narrow" w:hAnsi="Arial Narrow"/>
          <w:w w:val="90"/>
          <w:sz w:val="26"/>
          <w:szCs w:val="26"/>
        </w:rPr>
        <w:t>Plan</w:t>
      </w:r>
      <w:r>
        <w:rPr>
          <w:rFonts w:ascii="Arial Narrow" w:hAnsi="Arial Narrow"/>
          <w:spacing w:val="15"/>
          <w:sz w:val="26"/>
          <w:szCs w:val="26"/>
        </w:rPr>
        <w:t xml:space="preserve"> </w:t>
      </w:r>
      <w:r>
        <w:rPr>
          <w:rFonts w:ascii="Arial Narrow" w:hAnsi="Arial Narrow"/>
          <w:w w:val="90"/>
          <w:sz w:val="26"/>
          <w:szCs w:val="26"/>
        </w:rPr>
        <w:t>Jerez</w:t>
      </w:r>
      <w:r>
        <w:rPr>
          <w:rFonts w:ascii="Arial Narrow" w:hAnsi="Arial Narrow"/>
          <w:spacing w:val="29"/>
          <w:sz w:val="26"/>
          <w:szCs w:val="26"/>
        </w:rPr>
        <w:t xml:space="preserve"> </w:t>
      </w:r>
      <w:r>
        <w:rPr>
          <w:rFonts w:ascii="Arial Narrow" w:hAnsi="Arial Narrow"/>
          <w:w w:val="90"/>
          <w:sz w:val="26"/>
          <w:szCs w:val="26"/>
        </w:rPr>
        <w:t>Centro</w:t>
      </w:r>
      <w:r>
        <w:rPr>
          <w:rFonts w:ascii="Arial Narrow" w:hAnsi="Arial Narrow"/>
          <w:spacing w:val="28"/>
          <w:sz w:val="26"/>
          <w:szCs w:val="26"/>
        </w:rPr>
        <w:t xml:space="preserve"> </w:t>
      </w:r>
      <w:r>
        <w:rPr>
          <w:rFonts w:ascii="Arial Narrow" w:hAnsi="Arial Narrow"/>
          <w:w w:val="90"/>
          <w:sz w:val="26"/>
          <w:szCs w:val="26"/>
        </w:rPr>
        <w:t>2023-</w:t>
      </w:r>
      <w:r>
        <w:rPr>
          <w:rFonts w:ascii="Arial Narrow" w:hAnsi="Arial Narrow"/>
          <w:spacing w:val="-4"/>
          <w:w w:val="90"/>
          <w:sz w:val="26"/>
          <w:szCs w:val="26"/>
        </w:rPr>
        <w:t xml:space="preserve">2031; la convocatoria de ayudas europeas del Plan EDIL; </w:t>
      </w:r>
      <w:r>
        <w:rPr>
          <w:rFonts w:ascii="Arial Narrow" w:hAnsi="Arial Narrow"/>
          <w:sz w:val="26"/>
          <w:szCs w:val="26"/>
        </w:rPr>
        <w:t>la Ayuda del 2% Cultural, o las dos consultas previas abiertas sobre la Ordenanza Reguladora de Zambombas y la modificaci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del PGOU que regular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las viviendas de uso tur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 xml:space="preserve">stico, además de temas de seguridad ciudadana e infraestructuras y servicios.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Agustín Muñoz ha agradecido la colaboración y la participación de los componentes de la Mesa en los asuntos “que son de interés colectivo y que nos afectan a todos”, y que es de vital importancia para que el centro recupere su esencia, proporcione calidad de vida a los residentes, potencie su oferta residencial, genere actividad económica y atraiga a un mayor número de visitantes”.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Traslado del Archivo Municipal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petición de las Comisiones de Seguimiento de la Mesa del Centro Histórico, Agustín Muñoz ha ofrecido amplia información sobre el anteproyecto de traslado del Archivo Municipal a parte del complejo de las antiguas Bodegas de D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ez Mérito situadas en la calle Ferrocarril, esquina con la calle M</w:t>
      </w:r>
      <w:r>
        <w:rPr>
          <w:rFonts w:cs="Cambria" w:ascii="Arial Narrow" w:hAnsi="Arial Narrow"/>
          <w:sz w:val="26"/>
          <w:szCs w:val="26"/>
        </w:rPr>
        <w:t>é</w:t>
      </w:r>
      <w:r>
        <w:rPr>
          <w:rFonts w:ascii="Arial Narrow" w:hAnsi="Arial Narrow"/>
          <w:sz w:val="26"/>
          <w:szCs w:val="26"/>
        </w:rPr>
        <w:t>ndez N</w:t>
      </w:r>
      <w:r>
        <w:rPr>
          <w:rFonts w:cs="Cambria" w:ascii="Arial Narrow" w:hAnsi="Arial Narrow"/>
          <w:sz w:val="26"/>
          <w:szCs w:val="26"/>
        </w:rPr>
        <w:t>úñ</w:t>
      </w:r>
      <w:r>
        <w:rPr>
          <w:rFonts w:ascii="Arial Narrow" w:hAnsi="Arial Narrow"/>
          <w:sz w:val="26"/>
          <w:szCs w:val="26"/>
        </w:rPr>
        <w:t xml:space="preserve">ez, que albergarán estas instalaciones de una forma centralizada, capaz y suficiente para prestar estos servicios de forma adecuada.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Tal y como ha recordado, el traslado del Archivo Municipal “responde a la necesidad de contar con unas dependencias dignas y adaptadas a las necesidades de espacio y de las condiciones propias de este servicio”. De esta forma, el edificio constará de dos partes o zonas de uso diferenciadas: una de uso administrativo y otra de dep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sito de fondos.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primera zona se desarrollará en la parte de oficinas de las antiguas bodegas, con dos plantas de altura, la cual será preciso adaptar, reformar y rehabilitar; en ella se desarrollarán los usos de recepci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n, control de entrada, despacho del director, servicios administrativos, aula o sal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actos, sala de exposiciones, sala de consultas de usuarios e investigadores con biblioteca, dep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sito de fondos del Archivo Hist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rico Reservado, reproducci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y digitalizaci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n, aseos y vestuarios.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Habrá una segunda zona de archivos que se proyecta en una de las naves bodegueras que formaban parte del conjunto (que ha estado ocupada por Madre Coraje en los </w:t>
      </w:r>
      <w:r>
        <w:rPr>
          <w:rFonts w:cs="Cambria" w:ascii="Arial Narrow" w:hAnsi="Arial Narrow"/>
          <w:sz w:val="26"/>
          <w:szCs w:val="26"/>
        </w:rPr>
        <w:t>ú</w:t>
      </w:r>
      <w:r>
        <w:rPr>
          <w:rFonts w:ascii="Arial Narrow" w:hAnsi="Arial Narrow"/>
          <w:sz w:val="26"/>
          <w:szCs w:val="26"/>
        </w:rPr>
        <w:t>ltimos a</w:t>
      </w:r>
      <w:r>
        <w:rPr>
          <w:rFonts w:cs="Cambria" w:ascii="Arial Narrow" w:hAnsi="Arial Narrow"/>
          <w:sz w:val="26"/>
          <w:szCs w:val="26"/>
        </w:rPr>
        <w:t>ñ</w:t>
      </w:r>
      <w:r>
        <w:rPr>
          <w:rFonts w:ascii="Arial Narrow" w:hAnsi="Arial Narrow"/>
          <w:sz w:val="26"/>
          <w:szCs w:val="26"/>
        </w:rPr>
        <w:t>os), con una planta de altura, y en la que se prevé introducir una entreplanta; en este caso, también será necesario  adaptarla, reformarla y rehabilitarla para acoger los siguientes usos: dep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sito de fondos de los archivos hist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rico municipal y de origen privado, de documentos administrativos y protocolos notariales, adem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s de las zonas de recepci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n, carga y descarga, de tratamiento y de organizaci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n, y de salas t</w:t>
      </w:r>
      <w:r>
        <w:rPr>
          <w:rFonts w:cs="Cambria" w:ascii="Arial Narrow" w:hAnsi="Arial Narrow"/>
          <w:sz w:val="26"/>
          <w:szCs w:val="26"/>
        </w:rPr>
        <w:t>é</w:t>
      </w:r>
      <w:r>
        <w:rPr>
          <w:rFonts w:ascii="Arial Narrow" w:hAnsi="Arial Narrow"/>
          <w:sz w:val="26"/>
          <w:szCs w:val="26"/>
        </w:rPr>
        <w:t xml:space="preserve">cnicas de instalaciones.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superficie construida total del edificio es de 2.479,82 metros cuadrados distribuidos de la siguiente forma: edificio administrativo (2 plantas): 725,00 metros cuadrados; nave bodeguera de dep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sito de archivos en planta baja: 1.248,49 metros cuadrados; y entreplanta en nave bodeguera de dep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sito de archivos, 506,33 metros cuadrados.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Convocatoria de ayudas europeas Plan EDIL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Continuando con el orden del día de la sesión, Agustín Muñoz ha informado a la Mesa sobre la propuesta de Estrategia de Desarrollo Integrado Local (EDIL) que está preparando el Ayuntamiento, y que se basa en el Plan de Acción Local de la Agenda Urbana 2030.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Según ha recordado, el pasado 23 de diciembre se publicó la convocatoria para la asignación de ayudas FEDER a Planes de Actuación Integrados (PAI) de Entidades Locales, estableciéndose un plazo de presentación de proyectos que finaliza el próximo 28 febrero. Jerez aspira a conseguir 20 millones de euros para proyecto</w:t>
      </w:r>
      <w:r>
        <w:rPr>
          <w:rFonts w:ascii="Arial Narrow" w:hAnsi="Arial Narrow"/>
          <w:sz w:val="26"/>
          <w:szCs w:val="26"/>
          <w:lang w:val="es-ES_tradnl" w:eastAsia="es-ES_tradnl"/>
        </w:rPr>
        <w:t xml:space="preserve">s que se focalizarán en el conjunto histórico, Picadueñas y La Plata. </w:t>
      </w:r>
    </w:p>
    <w:p>
      <w:pPr>
        <w:pStyle w:val="Normal"/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relación a la propuesta que prepara el Ayuntamiento, el responsable municipal ha explicado que, al objeto de cumplir al máximo con los criterios de valoración establecidos, “vamos a presentar un PAI que incluye proyectos reales, maduros y transformadores, que aportan cohesión social y que se pueden complementar con otras intervenciones que ya se hayan financiado con fondos europeos y que son coherentes con las directrices de la Agenda Urbana de Jerez”.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Plan Jerez Centro 2023-2031</w:t>
      </w:r>
    </w:p>
    <w:p>
      <w:pPr>
        <w:pStyle w:val="Normal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relación al Plan Jerez Centro 2023-2031, Agustín Muñoz ha informado de que actualmente se est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elaborando el documento de diagn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stico integral por parte de la empresa jerezana “Territorio y Ciudad, SLP” especializada en gesti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integral del territorio y en planificaci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urban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stica y territorial. “Desde las distintas áreas municipales ya se han recopilado todos los datos necesarios para la elaboraci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este diagn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stico, para el que se están teniendo en cuenta propuestas y sugerencias realizadas por esta Mesa y por las Comisiones de seguimiento, así como procedentes de estudios y Planes municipales redactados anteriormente en distintas materias”. </w:t>
      </w:r>
    </w:p>
    <w:p>
      <w:pPr>
        <w:pStyle w:val="Normal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ya explicase recientemente la alcaldesa, una vez finalice la redacción de este estudio, sobre el mes de marzo, se abrirá un periodo de participaci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ciudadana para recabar opiniones y aportaciones al documento final. “Esta Mesa Centro Hist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rico tendrá mucho protagonismo ya que actuar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de Comisi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Seguimiento en la elaboraci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del Plan de Centro 2023-2031”, ha avanzado Agustín Muñoz, quien ha explicado que se ha tomado para la elaboraci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n de este Plan Jerez Centro un 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rea algo mayor a la delimitaci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del BIC Conjunto Hist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rico, para hacerlo coincidir con las secciones censales.</w:t>
      </w:r>
    </w:p>
    <w:p>
      <w:pPr>
        <w:pStyle w:val="Normal"/>
        <w:jc w:val="both"/>
        <w:rPr>
          <w:rFonts w:ascii="Arial Narrow" w:hAnsi="Arial Narrow" w:cs="" w:cstheme="minorBidi"/>
          <w:sz w:val="26"/>
          <w:szCs w:val="26"/>
        </w:rPr>
      </w:pPr>
      <w:r>
        <w:rPr>
          <w:rFonts w:cs="" w:cstheme="minorBidi"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Ayuda del 2% Cultural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la Ayuda del 2% Cultural, el primer teniente de alcaldesa ha recordado que el Ayuntamiento ha obtenido una subvención de unos 800.000 euros, procedente del Ministerio de Transportes, Movilidad y Agenda Urbana correspondiente a este programa, para la conservación del patrimonio arquitectónico, que será destinada a la continuación del proyecto de rehabilitación del Palacio Riquelme para su puesta en uso. “</w:t>
      </w:r>
      <w:r>
        <w:rPr>
          <w:rFonts w:ascii="Arial Narrow" w:hAnsi="Arial Narrow"/>
          <w:sz w:val="26"/>
          <w:szCs w:val="26"/>
          <w:lang w:eastAsia="en-US"/>
        </w:rPr>
        <w:t xml:space="preserve">Nos la han concedido entre cientos de propuestas a nivel nacional con una puntuación de 88,8 de 100 puntos”, ha subrayado. </w:t>
      </w:r>
    </w:p>
    <w:p>
      <w:pPr>
        <w:pStyle w:val="Normal"/>
        <w:jc w:val="both"/>
        <w:rPr>
          <w:rFonts w:ascii="Arial Narrow" w:hAnsi="Arial Narrow" w:cs="" w:cstheme="minorBidi"/>
          <w:sz w:val="26"/>
          <w:szCs w:val="26"/>
        </w:rPr>
      </w:pPr>
      <w:r>
        <w:rPr>
          <w:rFonts w:cs="" w:cstheme="minorBidi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Calibri" w:cs="" w:ascii="Arial Narrow" w:hAnsi="Arial Narrow" w:cstheme="minorBidi" w:eastAsiaTheme="minorHAnsi"/>
          <w:sz w:val="26"/>
          <w:szCs w:val="26"/>
          <w:lang w:eastAsia="en-US"/>
        </w:rPr>
        <w:t xml:space="preserve">Cabe recordar que actualmente está en marcha una primera fase de las obras de consolidación de este inmueble por importe de 755.000 euros, financiados por la Diputación Provincial de Cádiz, y que ya se trabaja en la redacción de un segundo proyecto destinado a dar continuidad a estos </w:t>
      </w:r>
      <w:r>
        <w:rPr>
          <w:rFonts w:eastAsia="Calibri" w:cs="" w:ascii="Arial Narrow" w:hAnsi="Arial Narrow" w:cstheme="minorBidi"/>
          <w:sz w:val="26"/>
          <w:szCs w:val="26"/>
          <w:lang w:eastAsia="en-US"/>
        </w:rPr>
        <w:t xml:space="preserve">trabajos.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esta nueva subvenci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se finalizar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la intervenci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las dos primeras cruj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as y se proceder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a la rehabilitaci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y acondicionamiento de los dos patios ubicados a continuaci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éstas, comunic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ndolas con dos cuerpos laterales que exist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 xml:space="preserve">an históricamente. </w:t>
      </w:r>
    </w:p>
    <w:p>
      <w:pPr>
        <w:pStyle w:val="Normal"/>
        <w:jc w:val="both"/>
        <w:rPr>
          <w:rFonts w:ascii="Arial Narrow" w:hAnsi="Arial Narrow" w:cs="Calibri"/>
          <w:color w:val="00000A"/>
          <w:sz w:val="26"/>
          <w:szCs w:val="26"/>
          <w:shd w:fill="FFFFFF" w:val="clear"/>
        </w:rPr>
      </w:pPr>
      <w:r>
        <w:rPr>
          <w:rFonts w:cs="Calibri" w:ascii="Arial Narrow" w:hAnsi="Arial Narrow"/>
          <w:color w:val="00000A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Nueva normativa municipal sobre Vivienda Tur</w:t>
      </w:r>
      <w:r>
        <w:rPr>
          <w:rFonts w:cs="Cambria" w:ascii="Arial Narrow" w:hAnsi="Arial Narrow"/>
          <w:b/>
          <w:bCs/>
          <w:sz w:val="26"/>
          <w:szCs w:val="26"/>
        </w:rPr>
        <w:t>í</w:t>
      </w:r>
      <w:r>
        <w:rPr>
          <w:rFonts w:ascii="Arial Narrow" w:hAnsi="Arial Narrow"/>
          <w:b/>
          <w:bCs/>
          <w:sz w:val="26"/>
          <w:szCs w:val="26"/>
        </w:rPr>
        <w:t>stica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 lado, Agustín Muñoz ha dado a conocer detalles del proceso de consulta previa a la modificaci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del PGOU que regular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 las viviendas de uso tur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stico. En este sentido, ha recordado que, según se recoge en este documento, los servicios de alojamiento que prestan las viviendas de uso tur</w:t>
      </w:r>
      <w:r>
        <w:rPr>
          <w:rFonts w:cs="Cambria"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stico pasar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n a tener la condici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actividad econ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mica, por lo que se regular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 xml:space="preserve">n dentro del uso de ‘hospedaje’. El plazo de participación en esta consulta previa estará abierto hasta el próximo 27 de febrero.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Registro Municipal de Solares y Edificaciones Ruinosas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el teniente de alcaldesa ha dado un repaso las principales acciones llevadas a cabo en relación al Registro Municipal de Solares y edificaciones ruinosas, cuyo objetivo es priorizar el uso residencial en las ventas forzosas que se realizan, tomando como criterio en cada finca el mayor n</w:t>
      </w:r>
      <w:r>
        <w:rPr>
          <w:rFonts w:cs="Cambria" w:ascii="Arial Narrow" w:hAnsi="Arial Narrow"/>
          <w:sz w:val="26"/>
          <w:szCs w:val="26"/>
        </w:rPr>
        <w:t>ú</w:t>
      </w:r>
      <w:r>
        <w:rPr>
          <w:rFonts w:ascii="Arial Narrow" w:hAnsi="Arial Narrow"/>
          <w:sz w:val="26"/>
          <w:szCs w:val="26"/>
        </w:rPr>
        <w:t>mero de viviendas, de al menos dos dormitorios, posibilit</w:t>
      </w:r>
      <w:r>
        <w:rPr>
          <w:rFonts w:cs="Cambria"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ndose hasta ahora la construcci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de un total de 86 viviendas en distintos puntos del Centro Hist</w:t>
      </w:r>
      <w:r>
        <w:rPr>
          <w:rFonts w:cs="Cambria"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rico.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Web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eastAsia="Calibri" w:cs="" w:ascii="Arial Narrow" w:hAnsi="Arial Narrow" w:cstheme="minorBidi" w:eastAsiaTheme="minorHAnsi"/>
          <w:sz w:val="26"/>
          <w:szCs w:val="26"/>
          <w:lang w:eastAsia="en-US"/>
        </w:rPr>
        <w:t xml:space="preserve">En este sentido, ha recordado las seis ventas forzosas tramitadas en lo que va de legislatura, de las cuales está pendiente de finalizar la de calle Cazón 11, que está a punto de adjudicarse. Estos procedimientos </w:t>
      </w:r>
      <w:r>
        <w:rPr>
          <w:rFonts w:eastAsia="Calibri" w:cs="Trebuchet MS" w:ascii="Arial Narrow" w:hAnsi="Arial Narrow" w:eastAsiaTheme="minorHAnsi"/>
          <w:sz w:val="26"/>
          <w:szCs w:val="26"/>
          <w:lang w:eastAsia="en-US"/>
        </w:rPr>
        <w:t xml:space="preserve">suman un importe de adjudicación de 1.235.275 euros y van a posibilitar la construcción de un total de 86 viviendas en distintos puntos del centro histórico. </w:t>
      </w:r>
      <w:r>
        <w:rPr>
          <w:rFonts w:eastAsia="Calibri" w:cs="" w:ascii="Arial Narrow" w:hAnsi="Arial Narrow" w:cstheme="minorBidi" w:eastAsiaTheme="minorHAnsi"/>
          <w:sz w:val="26"/>
          <w:szCs w:val="26"/>
          <w:lang w:eastAsia="en-US"/>
        </w:rPr>
        <w:t xml:space="preserve"> </w:t>
      </w:r>
    </w:p>
    <w:p>
      <w:pPr>
        <w:pStyle w:val="Normal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Ordenanza Municipal Reguladora de las Zambombas de Jerez</w:t>
      </w:r>
      <w:r>
        <w:rPr>
          <w:rFonts w:ascii="Arial Narrow" w:hAnsi="Arial Narrow"/>
          <w:sz w:val="26"/>
          <w:szCs w:val="26"/>
        </w:rPr>
        <w:t xml:space="preserve">: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cabe destacar que también se ha informado sobre la</w:t>
      </w:r>
      <w:r>
        <w:rPr>
          <w:rFonts w:eastAsia="Calibri" w:cs="" w:ascii="Arial Narrow" w:hAnsi="Arial Narrow" w:cstheme="minorBidi" w:eastAsiaTheme="minorHAnsi"/>
          <w:sz w:val="26"/>
          <w:szCs w:val="26"/>
          <w:lang w:eastAsia="en-US"/>
        </w:rPr>
        <w:t xml:space="preserve"> consulta pública abierta para llevar a cabo una Ordenanza Municipal reguladora de zambombas, con carácter previo a la elaboración de la misma y recabar sugerencias y opiniones de la ciudadanía. Esta consulta pública está abierta hasta el próximo 26 de febrero y forma parte del compromiso del Gobierno Municipal con la conservación de su patrimonio cultural y la mejora de la convivencia ciudadana.</w:t>
      </w:r>
    </w:p>
    <w:p>
      <w:pPr>
        <w:pStyle w:val="Normal"/>
        <w:ind w:left="141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Gadugi" w:ascii="Arial Narrow" w:hAnsi="Arial Narrow"/>
          <w:i/>
          <w:iCs/>
          <w:color w:val="000000"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9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9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qFormat/>
    <w:pPr/>
    <w:rPr>
      <w:rFonts w:ascii="Consolas" w:hAnsi="Consolas" w:eastAsia="Calibri" w:cs="Consolas"/>
      <w:sz w:val="21"/>
      <w:szCs w:val="21"/>
    </w:rPr>
  </w:style>
  <w:style w:type="paragraph" w:styleId="Standard1" w:customStyle="1">
    <w:name w:val="Standard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>
      <w:rFonts w:ascii="Calibri" w:hAnsi="Calibri" w:eastAsia="Calib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_tradnl" w:eastAsia="es-ES_tradnl" w:bidi="ar-SA"/>
    </w:rPr>
  </w:style>
  <w:style w:type="paragraph" w:styleId="Xwestern" w:customStyle="1">
    <w:name w:val="x_western"/>
    <w:basedOn w:val="Normal"/>
    <w:qFormat/>
    <w:pPr>
      <w:suppressAutoHyphens w:val="false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styleId="Citaenbloque" w:customStyle="1">
    <w:name w:val="Cita en bloque"/>
    <w:basedOn w:val="Normal"/>
    <w:qFormat/>
    <w:rsid w:val="00aa4c03"/>
    <w:pPr>
      <w:spacing w:before="0" w:after="283"/>
      <w:ind w:left="567" w:right="567"/>
      <w:jc w:val="both"/>
    </w:pPr>
    <w:rPr>
      <w:rFonts w:ascii="Calibri" w:hAnsi="Calibri" w:eastAsia="Calibri" w:cs="Times New Roman"/>
      <w:color w:val="00000A"/>
      <w:kern w:val="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LibreOffice/7.6.5.2$Windows_X86_64 LibreOffice_project/38d5f62f85355c192ef5f1dd47c5c0c0c6d6598b</Application>
  <AppVersion>15.0000</AppVersion>
  <Pages>3</Pages>
  <Words>1506</Words>
  <Characters>8042</Characters>
  <CharactersWithSpaces>9536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2025-01-16T10:47:00Z</dcterms:created>
  <dc:creator>ADELIFL</dc:creator>
  <dc:description/>
  <dc:language>es-ES</dc:language>
  <cp:lastModifiedBy>Microsoft Office User</cp:lastModifiedBy>
  <cp:lastPrinted>2025-02-04T12:19:00Z</cp:lastPrinted>
  <dcterms:modified xsi:type="dcterms:W3CDTF">2025-02-04T18:06:00Z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