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B2E35" w:rsidRDefault="000B2E35">
      <w:pPr>
        <w:rPr>
          <w:color w:val="000000"/>
        </w:rPr>
      </w:pPr>
    </w:p>
    <w:p w:rsidR="000B2E35" w:rsidRDefault="00C63EA3">
      <w:pPr>
        <w:jc w:val="both"/>
        <w:rPr>
          <w:rFonts w:ascii="Arial Narrow" w:hAnsi="Arial Narrow"/>
          <w:sz w:val="26"/>
          <w:szCs w:val="26"/>
        </w:rPr>
      </w:pPr>
      <w:r>
        <w:rPr>
          <w:rFonts w:ascii="Arial Narrow" w:hAnsi="Arial Narrow"/>
          <w:b/>
          <w:bCs/>
          <w:sz w:val="40"/>
          <w:szCs w:val="40"/>
        </w:rPr>
        <w:t>El Ayuntamiento posibilita la construcción de 86 nuevas viviendas en el centro histórico a través de la venta forzosa</w:t>
      </w:r>
    </w:p>
    <w:p w:rsidR="000B2E35" w:rsidRDefault="00C63EA3">
      <w:pPr>
        <w:spacing w:beforeAutospacing="1" w:afterAutospacing="1"/>
        <w:rPr>
          <w:sz w:val="36"/>
          <w:szCs w:val="36"/>
        </w:rPr>
      </w:pPr>
      <w:r>
        <w:rPr>
          <w:rFonts w:ascii="Arial Narrow" w:hAnsi="Arial Narrow"/>
          <w:sz w:val="36"/>
          <w:szCs w:val="36"/>
        </w:rPr>
        <w:t xml:space="preserve">Agustín Muñoz subraya que la inclusión del criterio del destino residencial de las fincas “está cumpliendo nuestro objetivo de ampliar </w:t>
      </w:r>
      <w:r>
        <w:rPr>
          <w:rFonts w:ascii="Arial Narrow" w:hAnsi="Arial Narrow"/>
          <w:sz w:val="36"/>
          <w:szCs w:val="36"/>
        </w:rPr>
        <w:t>el parque de viviendas en la zona para favorecer la llegada de nuevos residentes”</w:t>
      </w:r>
    </w:p>
    <w:p w:rsidR="000B2E35" w:rsidRDefault="00C63EA3">
      <w:pPr>
        <w:spacing w:beforeAutospacing="1" w:afterAutospacing="1"/>
        <w:rPr>
          <w:sz w:val="36"/>
          <w:szCs w:val="36"/>
        </w:rPr>
      </w:pPr>
      <w:r>
        <w:rPr>
          <w:rFonts w:ascii="Arial Narrow" w:hAnsi="Arial Narrow"/>
          <w:sz w:val="36"/>
          <w:szCs w:val="36"/>
        </w:rPr>
        <w:t>En año y medio, el Gobierno local ha culminado cinco de las seis licitaciones realizadas, frente a las 11 gestionadas durante</w:t>
      </w:r>
      <w:r>
        <w:rPr>
          <w:rFonts w:ascii="Arial Narrow" w:hAnsi="Arial Narrow"/>
          <w:sz w:val="36"/>
          <w:szCs w:val="36"/>
        </w:rPr>
        <w:t xml:space="preserve"> la legislatura anterior</w:t>
      </w:r>
    </w:p>
    <w:p w:rsidR="000B2E35" w:rsidRDefault="00C63EA3">
      <w:pPr>
        <w:spacing w:beforeAutospacing="1" w:afterAutospacing="1"/>
        <w:jc w:val="both"/>
        <w:rPr>
          <w:rFonts w:ascii="Arial Narrow" w:hAnsi="Arial Narrow"/>
          <w:sz w:val="26"/>
          <w:szCs w:val="26"/>
        </w:rPr>
      </w:pPr>
      <w:r>
        <w:rPr>
          <w:rFonts w:ascii="Arial Narrow" w:hAnsi="Arial Narrow" w:cs="Trebuchet MS"/>
          <w:b/>
          <w:bCs/>
          <w:sz w:val="26"/>
          <w:szCs w:val="26"/>
        </w:rPr>
        <w:t>26</w:t>
      </w:r>
      <w:r>
        <w:rPr>
          <w:rFonts w:ascii="Arial Narrow" w:hAnsi="Arial Narrow" w:cs="Trebuchet MS"/>
          <w:b/>
          <w:bCs/>
          <w:sz w:val="26"/>
          <w:szCs w:val="26"/>
        </w:rPr>
        <w:t xml:space="preserve"> de enero de 2025. </w:t>
      </w:r>
      <w:r>
        <w:rPr>
          <w:rFonts w:ascii="Arial Narrow" w:hAnsi="Arial Narrow" w:cs="Trebuchet MS"/>
          <w:sz w:val="26"/>
          <w:szCs w:val="26"/>
        </w:rPr>
        <w:t xml:space="preserve">El </w:t>
      </w:r>
      <w:r>
        <w:rPr>
          <w:rFonts w:ascii="Arial Narrow" w:hAnsi="Arial Narrow" w:cs="Trebuchet MS"/>
          <w:sz w:val="26"/>
          <w:szCs w:val="26"/>
        </w:rPr>
        <w:t>Ayuntamiento ha tramitado, desde junio de 2023, seis expedientes de venta forzosa de fincas en mal estado, de los cuales ya se han culminado cinco y otro se encuentra ya en su recta final. Estas ventas de inmuebles, incluidos todos ellos en el Registro Mun</w:t>
      </w:r>
      <w:r>
        <w:rPr>
          <w:rFonts w:ascii="Arial Narrow" w:hAnsi="Arial Narrow" w:cs="Trebuchet MS"/>
          <w:sz w:val="26"/>
          <w:szCs w:val="26"/>
        </w:rPr>
        <w:t xml:space="preserve">icipal de Solares y Edificaciones Ruinosas, suman un importe de adjudicación de 1.235.275 euros y van a posibilitar la construcción de un total de 86 viviendas en distintos puntos del centro histórico. </w:t>
      </w:r>
    </w:p>
    <w:p w:rsidR="000B2E35" w:rsidRDefault="00C63EA3">
      <w:pPr>
        <w:spacing w:beforeAutospacing="1" w:afterAutospacing="1"/>
        <w:jc w:val="both"/>
        <w:rPr>
          <w:rFonts w:ascii="Arial Narrow" w:hAnsi="Arial Narrow"/>
          <w:sz w:val="26"/>
          <w:szCs w:val="26"/>
        </w:rPr>
      </w:pPr>
      <w:r>
        <w:rPr>
          <w:rFonts w:ascii="Arial Narrow" w:hAnsi="Arial Narrow" w:cs="Arial"/>
          <w:sz w:val="26"/>
          <w:szCs w:val="26"/>
        </w:rPr>
        <w:t>Tanto el delegado de Presidencia y Centro Histórico -</w:t>
      </w:r>
      <w:r>
        <w:rPr>
          <w:rFonts w:ascii="Arial Narrow" w:hAnsi="Arial Narrow" w:cs="Arial"/>
          <w:sz w:val="26"/>
          <w:szCs w:val="26"/>
        </w:rPr>
        <w:t>ámbito donde se concentran estas fincas – Agustín Muñoz, como la delegada de Urbanismo -servicio que tramita los expedientes – Belén de la Cuadra, han resaltado la importancia de estos procedimientos por los efectos positivos que generan en la actividad ec</w:t>
      </w:r>
      <w:r>
        <w:rPr>
          <w:rFonts w:ascii="Arial Narrow" w:hAnsi="Arial Narrow" w:cs="Arial"/>
          <w:sz w:val="26"/>
          <w:szCs w:val="26"/>
        </w:rPr>
        <w:t xml:space="preserve">onómica, social y residencial de la zona. </w:t>
      </w:r>
    </w:p>
    <w:p w:rsidR="000B2E35" w:rsidRDefault="00C63EA3">
      <w:pPr>
        <w:spacing w:beforeAutospacing="1" w:afterAutospacing="1"/>
        <w:jc w:val="both"/>
      </w:pPr>
      <w:r>
        <w:rPr>
          <w:rStyle w:val="Textoennegrita1"/>
          <w:rFonts w:ascii="Arial Narrow" w:eastAsia="Calibri" w:hAnsi="Arial Narrow" w:cs="Arial"/>
          <w:b w:val="0"/>
          <w:color w:val="000000"/>
          <w:sz w:val="26"/>
          <w:szCs w:val="26"/>
          <w:lang w:val="es-ES_tradnl"/>
        </w:rPr>
        <w:t>Así</w:t>
      </w:r>
      <w:r>
        <w:rPr>
          <w:rStyle w:val="Textoennegrita1"/>
          <w:rFonts w:ascii="Arial Narrow" w:eastAsia="Calibri" w:hAnsi="Arial Narrow" w:cs="Arial"/>
          <w:b w:val="0"/>
          <w:color w:val="000000"/>
          <w:sz w:val="26"/>
          <w:szCs w:val="26"/>
        </w:rPr>
        <w:t>mismo, el</w:t>
      </w:r>
      <w:r>
        <w:rPr>
          <w:rStyle w:val="Textoennegrita1"/>
          <w:rFonts w:ascii="Arial Narrow" w:eastAsia="Calibri" w:hAnsi="Arial Narrow" w:cs="Arial"/>
          <w:b w:val="0"/>
          <w:color w:val="000000"/>
          <w:sz w:val="26"/>
          <w:szCs w:val="26"/>
          <w:lang w:val="es-ES_tradnl"/>
        </w:rPr>
        <w:t xml:space="preserve"> primer teniente de alcaldesa ha puesto en valor el criterio introducido en la presente legislatura  que tiene en cuenta la finalidad a que se destine estas fincas, en concreto el destino residencial, </w:t>
      </w:r>
      <w:r>
        <w:rPr>
          <w:rStyle w:val="Textoennegrita1"/>
          <w:rFonts w:ascii="Arial Narrow" w:eastAsia="Calibri" w:hAnsi="Arial Narrow" w:cs="Arial"/>
          <w:b w:val="0"/>
          <w:color w:val="000000"/>
          <w:sz w:val="26"/>
          <w:szCs w:val="26"/>
          <w:lang w:val="es-ES_tradnl"/>
        </w:rPr>
        <w:t>así como el número de viviendas, de al menos dos dormitorios, que el interesado se comprometa a construir en los inmuebles adquiridos: “La</w:t>
      </w:r>
      <w:r>
        <w:rPr>
          <w:rStyle w:val="Textoennegrita1"/>
          <w:rFonts w:ascii="Arial Narrow" w:eastAsia="Calibri" w:hAnsi="Arial Narrow" w:cs="Arial"/>
          <w:b w:val="0"/>
          <w:bCs w:val="0"/>
          <w:color w:val="000000"/>
          <w:sz w:val="26"/>
          <w:szCs w:val="26"/>
          <w:lang w:val="es-ES_tradnl"/>
        </w:rPr>
        <w:t xml:space="preserve"> inclusión de este criterio en la valoración de ofertas está cumpliendo el objetivo del Gobierno de ampliar el parque </w:t>
      </w:r>
      <w:r>
        <w:rPr>
          <w:rStyle w:val="Textoennegrita1"/>
          <w:rFonts w:ascii="Arial Narrow" w:eastAsia="Calibri" w:hAnsi="Arial Narrow" w:cs="Arial"/>
          <w:b w:val="0"/>
          <w:bCs w:val="0"/>
          <w:color w:val="000000"/>
          <w:sz w:val="26"/>
          <w:szCs w:val="26"/>
          <w:lang w:val="es-ES_tradnl"/>
        </w:rPr>
        <w:t xml:space="preserve">de viviendas en la zona y de atraer a nuevos residentes”, ha señalado. </w:t>
      </w:r>
    </w:p>
    <w:p w:rsidR="000B2E35" w:rsidRDefault="00C63EA3">
      <w:pPr>
        <w:spacing w:beforeAutospacing="1" w:afterAutospacing="1"/>
        <w:jc w:val="both"/>
      </w:pPr>
      <w:r>
        <w:rPr>
          <w:rStyle w:val="Textoennegrita1"/>
          <w:rFonts w:ascii="Arial Narrow" w:eastAsia="Calibri" w:hAnsi="Arial Narrow" w:cs="Arial"/>
          <w:b w:val="0"/>
          <w:color w:val="000000"/>
          <w:sz w:val="26"/>
          <w:szCs w:val="26"/>
          <w:lang w:val="es-ES_tradnl"/>
        </w:rPr>
        <w:t>Cabe recordar que la mejor oferta económica obtiene un máximo 60 puntos; el destino residencial, 20 puntos; y otros 20 puntos a la propuesta en la que interesado se comprometa a la con</w:t>
      </w:r>
      <w:r>
        <w:rPr>
          <w:rStyle w:val="Textoennegrita1"/>
          <w:rFonts w:ascii="Arial Narrow" w:eastAsia="Calibri" w:hAnsi="Arial Narrow" w:cs="Arial"/>
          <w:b w:val="0"/>
          <w:color w:val="000000"/>
          <w:sz w:val="26"/>
          <w:szCs w:val="26"/>
          <w:lang w:val="es-ES_tradnl"/>
        </w:rPr>
        <w:t>strucción de un mayor número de viviendas de al menos dos dormitorios.</w:t>
      </w:r>
    </w:p>
    <w:p w:rsidR="000B2E35" w:rsidRDefault="00C63EA3">
      <w:pPr>
        <w:spacing w:beforeAutospacing="1" w:afterAutospacing="1"/>
        <w:jc w:val="both"/>
        <w:rPr>
          <w:rFonts w:ascii="Arial Narrow" w:hAnsi="Arial Narrow"/>
          <w:sz w:val="26"/>
          <w:szCs w:val="26"/>
        </w:rPr>
      </w:pPr>
      <w:r>
        <w:rPr>
          <w:rStyle w:val="Textoennegrita1"/>
          <w:rFonts w:ascii="Arial Narrow" w:eastAsia="Calibri" w:hAnsi="Arial Narrow" w:cs="Arial"/>
          <w:b w:val="0"/>
          <w:bCs w:val="0"/>
          <w:color w:val="000000"/>
          <w:sz w:val="26"/>
          <w:szCs w:val="26"/>
        </w:rPr>
        <w:lastRenderedPageBreak/>
        <w:t>Igualmente, Agustín Muñoz ha subrayado que se ha conseguido “poner en el mercado todas las fincas que se han licitado hasta la fecha, lo cual demuestra el interés de la iniciativa priva</w:t>
      </w:r>
      <w:r>
        <w:rPr>
          <w:rStyle w:val="Textoennegrita1"/>
          <w:rFonts w:ascii="Arial Narrow" w:eastAsia="Calibri" w:hAnsi="Arial Narrow" w:cs="Arial"/>
          <w:b w:val="0"/>
          <w:bCs w:val="0"/>
          <w:color w:val="000000"/>
          <w:sz w:val="26"/>
          <w:szCs w:val="26"/>
        </w:rPr>
        <w:t>da por adquirir propiedades en este ámbito y, lo que es más positivo, darles un uso residencial”.</w:t>
      </w:r>
    </w:p>
    <w:p w:rsidR="000B2E35" w:rsidRDefault="00C63EA3">
      <w:pPr>
        <w:spacing w:beforeAutospacing="1" w:afterAutospacing="1"/>
        <w:jc w:val="both"/>
      </w:pPr>
      <w:r>
        <w:rPr>
          <w:rStyle w:val="Textoennegrita1"/>
          <w:rFonts w:ascii="Arial Narrow" w:eastAsia="Calibri" w:hAnsi="Arial Narrow" w:cs="Arial"/>
          <w:color w:val="000000"/>
          <w:sz w:val="26"/>
          <w:szCs w:val="26"/>
        </w:rPr>
        <w:t>Ventas forzosas realizadas</w:t>
      </w:r>
    </w:p>
    <w:p w:rsidR="000B2E35" w:rsidRDefault="00C63EA3">
      <w:pPr>
        <w:spacing w:beforeAutospacing="1" w:afterAutospacing="1"/>
        <w:jc w:val="both"/>
      </w:pPr>
      <w:r>
        <w:rPr>
          <w:rStyle w:val="Textoennegrita1"/>
          <w:rFonts w:ascii="Arial Narrow" w:eastAsia="Calibri" w:hAnsi="Arial Narrow" w:cs="Arial"/>
          <w:b w:val="0"/>
          <w:bCs w:val="0"/>
          <w:color w:val="000000"/>
          <w:sz w:val="26"/>
          <w:szCs w:val="26"/>
        </w:rPr>
        <w:t>Las ventas forzosas que se han culminado en este periodo son las de las calles Naranjas 6,</w:t>
      </w:r>
      <w:bookmarkStart w:id="0" w:name="_GoBack"/>
      <w:bookmarkEnd w:id="0"/>
      <w:r>
        <w:rPr>
          <w:rStyle w:val="Textoennegrita1"/>
          <w:rFonts w:ascii="Arial Narrow" w:eastAsia="Calibri" w:hAnsi="Arial Narrow" w:cs="Arial"/>
          <w:b w:val="0"/>
          <w:bCs w:val="0"/>
          <w:color w:val="000000"/>
          <w:sz w:val="26"/>
          <w:szCs w:val="26"/>
        </w:rPr>
        <w:t xml:space="preserve"> a</w:t>
      </w:r>
      <w:proofErr w:type="spellStart"/>
      <w:r>
        <w:rPr>
          <w:rStyle w:val="Textoennegrita1"/>
          <w:rFonts w:ascii="Arial Narrow" w:eastAsia="Calibri" w:hAnsi="Arial Narrow" w:cs="Segoe UI Semilight"/>
          <w:b w:val="0"/>
          <w:color w:val="000000"/>
          <w:sz w:val="26"/>
          <w:szCs w:val="26"/>
          <w:lang w:val="es-ES_tradnl"/>
        </w:rPr>
        <w:t>djudicada</w:t>
      </w:r>
      <w:proofErr w:type="spellEnd"/>
      <w:r>
        <w:rPr>
          <w:rStyle w:val="Textoennegrita1"/>
          <w:rFonts w:ascii="Arial Narrow" w:eastAsia="Calibri" w:hAnsi="Arial Narrow" w:cs="Segoe UI Semilight"/>
          <w:b w:val="0"/>
          <w:color w:val="000000"/>
          <w:sz w:val="26"/>
          <w:szCs w:val="26"/>
          <w:lang w:val="es-ES_tradnl"/>
        </w:rPr>
        <w:t xml:space="preserve"> por importe de </w:t>
      </w:r>
      <w:r>
        <w:rPr>
          <w:rStyle w:val="Fuentedeprrafopredeter1"/>
          <w:rFonts w:ascii="Arial Narrow" w:eastAsia="Calibri" w:hAnsi="Arial Narrow" w:cs="Segoe UI Semilight"/>
          <w:color w:val="000000"/>
          <w:sz w:val="26"/>
          <w:szCs w:val="26"/>
          <w:lang w:val="es-ES_tradnl"/>
        </w:rPr>
        <w:t xml:space="preserve">161.105 euros (10 viviendas); Porvenir 32, adjudicada por </w:t>
      </w:r>
      <w:r>
        <w:rPr>
          <w:rStyle w:val="Textoennegrita1"/>
          <w:rFonts w:ascii="Arial Narrow" w:eastAsia="Calibri" w:hAnsi="Arial Narrow" w:cs="Segoe UI Semilight"/>
          <w:b w:val="0"/>
          <w:color w:val="000000"/>
          <w:sz w:val="26"/>
          <w:szCs w:val="26"/>
          <w:lang w:val="es-ES_tradnl"/>
        </w:rPr>
        <w:t xml:space="preserve">97.555 euros (7 viviendas); </w:t>
      </w:r>
      <w:proofErr w:type="spellStart"/>
      <w:r>
        <w:rPr>
          <w:rStyle w:val="Textoennegrita1"/>
          <w:rFonts w:ascii="Arial Narrow" w:eastAsia="Calibri" w:hAnsi="Arial Narrow" w:cs="Segoe UI Semilight"/>
          <w:b w:val="0"/>
          <w:color w:val="000000"/>
          <w:sz w:val="26"/>
          <w:szCs w:val="26"/>
          <w:lang w:val="es-ES_tradnl"/>
        </w:rPr>
        <w:t>Morla</w:t>
      </w:r>
      <w:proofErr w:type="spellEnd"/>
      <w:r>
        <w:rPr>
          <w:rStyle w:val="Textoennegrita1"/>
          <w:rFonts w:ascii="Arial Narrow" w:eastAsia="Calibri" w:hAnsi="Arial Narrow" w:cs="Segoe UI Semilight"/>
          <w:b w:val="0"/>
          <w:color w:val="000000"/>
          <w:sz w:val="26"/>
          <w:szCs w:val="26"/>
          <w:lang w:val="es-ES_tradnl"/>
        </w:rPr>
        <w:t xml:space="preserve"> y Plaza Cocheras (ofertadas de forma conjunta, con 18 viviendas), 115.005 euros; </w:t>
      </w:r>
      <w:r>
        <w:rPr>
          <w:rStyle w:val="Textoennegrita1"/>
          <w:rFonts w:ascii="Arial Narrow" w:eastAsia="Calibri" w:hAnsi="Arial Narrow" w:cs="Arial"/>
          <w:b w:val="0"/>
          <w:color w:val="000000"/>
          <w:sz w:val="26"/>
          <w:szCs w:val="26"/>
          <w:lang w:val="es-ES_tradnl"/>
        </w:rPr>
        <w:t>Doña Felipa 6, adjudicada  por 120.310 euros, y la más reciente, la de la calle Jua</w:t>
      </w:r>
      <w:r>
        <w:rPr>
          <w:rStyle w:val="Textoennegrita1"/>
          <w:rFonts w:ascii="Arial Narrow" w:eastAsia="Calibri" w:hAnsi="Arial Narrow" w:cs="Arial"/>
          <w:b w:val="0"/>
          <w:color w:val="000000"/>
          <w:sz w:val="26"/>
          <w:szCs w:val="26"/>
          <w:lang w:val="es-ES_tradnl"/>
        </w:rPr>
        <w:t xml:space="preserve">n de Torres 12, que se acaba de adjudicar por un valor de 90.300 euros y que se destinará a 7 viviendas. </w:t>
      </w:r>
    </w:p>
    <w:p w:rsidR="000B2E35" w:rsidRDefault="00C63EA3">
      <w:pPr>
        <w:spacing w:beforeAutospacing="1" w:afterAutospacing="1"/>
        <w:jc w:val="both"/>
      </w:pPr>
      <w:r>
        <w:rPr>
          <w:rStyle w:val="Textoennegrita1"/>
          <w:rFonts w:ascii="Arial Narrow" w:eastAsia="Calibri" w:hAnsi="Arial Narrow" w:cs="Arial"/>
          <w:b w:val="0"/>
          <w:color w:val="000000"/>
          <w:sz w:val="26"/>
          <w:szCs w:val="26"/>
          <w:lang w:val="es-ES_tradnl"/>
        </w:rPr>
        <w:t>En cuanto al procedimiento</w:t>
      </w:r>
      <w:r>
        <w:rPr>
          <w:rStyle w:val="Textoennegrita1"/>
          <w:rFonts w:ascii="Arial Narrow" w:eastAsia="Calibri" w:hAnsi="Arial Narrow" w:cs="Segoe UI Semilight"/>
          <w:b w:val="0"/>
          <w:color w:val="000000"/>
          <w:sz w:val="26"/>
          <w:szCs w:val="26"/>
          <w:lang w:val="es-ES_tradnl"/>
        </w:rPr>
        <w:t xml:space="preserve"> que está a punto de fin</w:t>
      </w:r>
      <w:r>
        <w:rPr>
          <w:rStyle w:val="Textoennegrita1"/>
          <w:rFonts w:ascii="Arial Narrow" w:eastAsia="Calibri" w:hAnsi="Arial Narrow" w:cs="Arial"/>
          <w:b w:val="0"/>
          <w:color w:val="000000"/>
          <w:sz w:val="26"/>
          <w:szCs w:val="26"/>
          <w:lang w:val="es-ES_tradnl"/>
        </w:rPr>
        <w:t>aliz</w:t>
      </w:r>
      <w:r>
        <w:rPr>
          <w:rStyle w:val="Textoennegrita1"/>
          <w:rFonts w:ascii="Arial Narrow" w:eastAsia="Calibri" w:hAnsi="Arial Narrow" w:cs="Segoe UI Semilight"/>
          <w:b w:val="0"/>
          <w:color w:val="000000"/>
          <w:sz w:val="26"/>
          <w:szCs w:val="26"/>
          <w:lang w:val="es-ES_tradnl"/>
        </w:rPr>
        <w:t>ar, a</w:t>
      </w:r>
      <w:r>
        <w:rPr>
          <w:rStyle w:val="Textoennegrita1"/>
          <w:rFonts w:ascii="Arial Narrow" w:eastAsia="Calibri" w:hAnsi="Arial Narrow" w:cs="Arial"/>
          <w:b w:val="0"/>
          <w:color w:val="000000"/>
          <w:sz w:val="26"/>
          <w:szCs w:val="26"/>
          <w:lang w:val="es-ES_tradnl"/>
        </w:rPr>
        <w:t xml:space="preserve"> principios de diciembre se inició la licitación de la calle Cazón 11, cuya adjudicación se</w:t>
      </w:r>
      <w:r>
        <w:rPr>
          <w:rStyle w:val="Textoennegrita1"/>
          <w:rFonts w:ascii="Arial Narrow" w:eastAsia="Calibri" w:hAnsi="Arial Narrow" w:cs="Arial"/>
          <w:b w:val="0"/>
          <w:color w:val="000000"/>
          <w:sz w:val="26"/>
          <w:szCs w:val="26"/>
          <w:lang w:val="es-ES_tradnl"/>
        </w:rPr>
        <w:t xml:space="preserve"> está ultimando, después de que se haya aprobado, por Junta de Gobierno Local, aceptar la propuesta más ventajosa, que asciende a 651.000 euros, y prevé la construcción de 44 viviendas. </w:t>
      </w:r>
    </w:p>
    <w:p w:rsidR="000B2E35" w:rsidRDefault="00C63EA3">
      <w:pPr>
        <w:spacing w:beforeAutospacing="1" w:afterAutospacing="1"/>
        <w:jc w:val="both"/>
      </w:pPr>
      <w:r>
        <w:rPr>
          <w:rStyle w:val="Textoennegrita1"/>
          <w:rFonts w:ascii="Arial Narrow" w:eastAsia="Calibri" w:hAnsi="Arial Narrow" w:cs="Arial"/>
          <w:color w:val="000000"/>
          <w:sz w:val="26"/>
          <w:szCs w:val="26"/>
          <w:lang w:val="es-ES_tradnl"/>
        </w:rPr>
        <w:t>Colaboración con la Mesa del Centro Histórico</w:t>
      </w:r>
    </w:p>
    <w:p w:rsidR="000B2E35" w:rsidRDefault="00C63EA3">
      <w:pPr>
        <w:spacing w:beforeAutospacing="1" w:afterAutospacing="1"/>
        <w:jc w:val="both"/>
      </w:pPr>
      <w:r>
        <w:rPr>
          <w:rStyle w:val="Textoennegrita1"/>
          <w:rFonts w:ascii="Arial Narrow" w:eastAsia="Calibri" w:hAnsi="Arial Narrow" w:cs="Arial"/>
          <w:b w:val="0"/>
          <w:color w:val="000000"/>
          <w:sz w:val="26"/>
          <w:szCs w:val="26"/>
          <w:lang w:val="es-ES_tradnl"/>
        </w:rPr>
        <w:t xml:space="preserve">Para Agustín Muñoz, es </w:t>
      </w:r>
      <w:r>
        <w:rPr>
          <w:rStyle w:val="Textoennegrita1"/>
          <w:rFonts w:ascii="Arial Narrow" w:eastAsia="Calibri" w:hAnsi="Arial Narrow" w:cs="Arial"/>
          <w:b w:val="0"/>
          <w:color w:val="000000"/>
          <w:sz w:val="26"/>
          <w:szCs w:val="26"/>
          <w:lang w:val="es-ES_tradnl"/>
        </w:rPr>
        <w:t>importante también el trabajo que se viene haciendo “de la mano de la Mesa del Centro Histórico, en la que damos cuenta de los procedimientos de venta forzosa en marcha y se atienden sugerencias y peticiones de los colectivos miembros en relación a este as</w:t>
      </w:r>
      <w:r>
        <w:rPr>
          <w:rStyle w:val="Textoennegrita1"/>
          <w:rFonts w:ascii="Arial Narrow" w:eastAsia="Calibri" w:hAnsi="Arial Narrow" w:cs="Arial"/>
          <w:b w:val="0"/>
          <w:color w:val="000000"/>
          <w:sz w:val="26"/>
          <w:szCs w:val="26"/>
          <w:lang w:val="es-ES_tradnl"/>
        </w:rPr>
        <w:t>unto. Como ejemplo, el responsable municipal ha citado la tramitación de la venta de la finca de la calle Cazón 11, que responde a una solicitud de los vecinos de San Miguel, que llevaban tiempo demandando la intervención municipal para acabar con este pun</w:t>
      </w:r>
      <w:r>
        <w:rPr>
          <w:rStyle w:val="Textoennegrita1"/>
          <w:rFonts w:ascii="Arial Narrow" w:eastAsia="Calibri" w:hAnsi="Arial Narrow" w:cs="Arial"/>
          <w:b w:val="0"/>
          <w:color w:val="000000"/>
          <w:sz w:val="26"/>
          <w:szCs w:val="26"/>
          <w:lang w:val="es-ES_tradnl"/>
        </w:rPr>
        <w:t xml:space="preserve">to negro de la ciudad. </w:t>
      </w:r>
    </w:p>
    <w:p w:rsidR="000B2E35" w:rsidRDefault="00C63EA3">
      <w:pPr>
        <w:spacing w:beforeAutospacing="1" w:afterAutospacing="1"/>
        <w:jc w:val="both"/>
        <w:rPr>
          <w:rFonts w:ascii="Arial Narrow" w:hAnsi="Arial Narrow"/>
          <w:sz w:val="26"/>
          <w:szCs w:val="26"/>
        </w:rPr>
      </w:pPr>
      <w:r>
        <w:rPr>
          <w:rFonts w:ascii="Arial Narrow" w:hAnsi="Arial Narrow" w:cs="Segoe UI Semilight"/>
          <w:color w:val="000000"/>
          <w:sz w:val="26"/>
          <w:szCs w:val="26"/>
        </w:rPr>
        <w:t>Por su parte, la delegada de Urbanismo, Belén de la Cuadra, ha subrayado otro de los aspectos positivos de estos procedimientos, como es la puesta en uso de edificaciones ruinosas y de solares abandonados en pleno centro de Jerez, a</w:t>
      </w:r>
      <w:r>
        <w:rPr>
          <w:rFonts w:ascii="Arial Narrow" w:hAnsi="Arial Narrow" w:cs="Segoe UI Semilight"/>
          <w:color w:val="000000"/>
          <w:sz w:val="26"/>
          <w:szCs w:val="26"/>
        </w:rPr>
        <w:t xml:space="preserve">lgunos de los cuales, “son edificios de distinto valor patrimonial que se encuentran, en la mayoría de los casos, vacíos o en un estado de conservación muy precario”. </w:t>
      </w:r>
    </w:p>
    <w:p w:rsidR="000B2E35" w:rsidRDefault="00C63EA3">
      <w:pPr>
        <w:jc w:val="both"/>
        <w:rPr>
          <w:rFonts w:ascii="Arial Narrow" w:hAnsi="Arial Narrow"/>
          <w:sz w:val="26"/>
          <w:szCs w:val="26"/>
        </w:rPr>
      </w:pPr>
      <w:r>
        <w:rPr>
          <w:rFonts w:ascii="Arial Narrow" w:hAnsi="Arial Narrow" w:cs="Segoe UI Semilight"/>
          <w:color w:val="000000"/>
          <w:sz w:val="26"/>
          <w:szCs w:val="26"/>
        </w:rPr>
        <w:t>Ha sido el caso de las fincas de Plaza Cocheras, que incluía un edificio de mediados del</w:t>
      </w:r>
      <w:r>
        <w:rPr>
          <w:rFonts w:ascii="Arial Narrow" w:hAnsi="Arial Narrow" w:cs="Segoe UI Semilight"/>
          <w:color w:val="000000"/>
          <w:sz w:val="26"/>
          <w:szCs w:val="26"/>
        </w:rPr>
        <w:t xml:space="preserve"> siglo XIX de tipología de casco de bodega tradicional; la de Porvenir 32, en la que se ubicaba un edificio de finales del XIX del que sólo se conservan las fachadas; o la de Cazón 11, descrita en el expediente como una “antigua bodega-granero del siglo XV</w:t>
      </w:r>
      <w:r>
        <w:rPr>
          <w:rFonts w:ascii="Arial Narrow" w:hAnsi="Arial Narrow" w:cs="Segoe UI Semilight"/>
          <w:color w:val="000000"/>
          <w:sz w:val="26"/>
          <w:szCs w:val="26"/>
        </w:rPr>
        <w:t xml:space="preserve">III catalogada como de interés genérico y </w:t>
      </w:r>
      <w:r>
        <w:rPr>
          <w:rFonts w:ascii="Arial Narrow" w:hAnsi="Arial Narrow" w:cs="Segoe UI Semilight"/>
          <w:color w:val="000000"/>
          <w:sz w:val="26"/>
          <w:szCs w:val="26"/>
        </w:rPr>
        <w:lastRenderedPageBreak/>
        <w:t xml:space="preserve">considerada una extraordinaria pieza urbana de almacenamiento con graneros y bodegas ligados al Palacio de </w:t>
      </w:r>
      <w:proofErr w:type="spellStart"/>
      <w:r>
        <w:rPr>
          <w:rFonts w:ascii="Arial Narrow" w:hAnsi="Arial Narrow" w:cs="Segoe UI Semilight"/>
          <w:color w:val="000000"/>
          <w:sz w:val="26"/>
          <w:szCs w:val="26"/>
        </w:rPr>
        <w:t>Villapanés</w:t>
      </w:r>
      <w:proofErr w:type="spellEnd"/>
      <w:r>
        <w:rPr>
          <w:rFonts w:ascii="Arial Narrow" w:hAnsi="Arial Narrow" w:cs="Segoe UI Semilight"/>
          <w:color w:val="000000"/>
          <w:sz w:val="26"/>
          <w:szCs w:val="26"/>
        </w:rPr>
        <w:t xml:space="preserve">, a cuyo propietario pertenecía”. </w:t>
      </w:r>
    </w:p>
    <w:p w:rsidR="000B2E35" w:rsidRDefault="000B2E35">
      <w:pPr>
        <w:jc w:val="both"/>
        <w:rPr>
          <w:rFonts w:ascii="Arial Narrow" w:hAnsi="Arial Narrow" w:cs="Segoe UI Semilight"/>
          <w:color w:val="000000"/>
          <w:sz w:val="26"/>
          <w:szCs w:val="26"/>
        </w:rPr>
      </w:pPr>
    </w:p>
    <w:p w:rsidR="000B2E35" w:rsidRDefault="00C63EA3">
      <w:pPr>
        <w:jc w:val="both"/>
        <w:rPr>
          <w:rFonts w:ascii="Arial Narrow" w:hAnsi="Arial Narrow"/>
          <w:sz w:val="26"/>
          <w:szCs w:val="26"/>
        </w:rPr>
      </w:pPr>
      <w:r>
        <w:rPr>
          <w:rFonts w:ascii="Arial Narrow" w:hAnsi="Arial Narrow" w:cs="Segoe UI Semilight"/>
          <w:color w:val="000000"/>
          <w:sz w:val="26"/>
          <w:szCs w:val="26"/>
        </w:rPr>
        <w:t xml:space="preserve">Así pues, la venta forzosa no sólo contribuye a dinamizar la </w:t>
      </w:r>
      <w:r>
        <w:rPr>
          <w:rFonts w:ascii="Arial Narrow" w:hAnsi="Arial Narrow" w:cs="Segoe UI Semilight"/>
          <w:color w:val="000000"/>
          <w:sz w:val="26"/>
          <w:szCs w:val="26"/>
        </w:rPr>
        <w:t xml:space="preserve">actividad residencial, económica y social de la zona, sino que además, “supone una gran aportación a los procesos de renovación y aprovechamiento de solares y edificios, algunos de ellos históricos”, ha señalado la responsable municipal, quien, además, ha </w:t>
      </w:r>
      <w:r>
        <w:rPr>
          <w:rFonts w:ascii="Arial Narrow" w:hAnsi="Arial Narrow" w:cs="Segoe UI Semilight"/>
          <w:color w:val="000000"/>
          <w:sz w:val="26"/>
          <w:szCs w:val="26"/>
        </w:rPr>
        <w:t xml:space="preserve">subrayado que “estamos cumpliendo con nuestro compromiso de impulsar el Registro Municipal de Solares y Edificaciones Ruinosas a través de esta herramienta”. </w:t>
      </w:r>
    </w:p>
    <w:p w:rsidR="000B2E35" w:rsidRDefault="000B2E35">
      <w:pPr>
        <w:jc w:val="both"/>
        <w:rPr>
          <w:rFonts w:ascii="Arial Narrow" w:hAnsi="Arial Narrow" w:cs="Segoe UI Semilight"/>
          <w:color w:val="000000"/>
          <w:sz w:val="26"/>
          <w:szCs w:val="26"/>
        </w:rPr>
      </w:pPr>
    </w:p>
    <w:p w:rsidR="000B2E35" w:rsidRDefault="00C63EA3">
      <w:pPr>
        <w:jc w:val="both"/>
        <w:rPr>
          <w:rFonts w:ascii="Arial Narrow" w:hAnsi="Arial Narrow"/>
          <w:sz w:val="26"/>
          <w:szCs w:val="26"/>
        </w:rPr>
      </w:pPr>
      <w:r>
        <w:rPr>
          <w:rFonts w:ascii="Arial Narrow" w:hAnsi="Arial Narrow" w:cs="Segoe UI Semilight"/>
          <w:color w:val="000000"/>
          <w:sz w:val="26"/>
          <w:szCs w:val="26"/>
        </w:rPr>
        <w:t>Por todo ello, tanto Agustín Muñoz como Belén de la Cuadra han agradecido a las delegaciones imp</w:t>
      </w:r>
      <w:r>
        <w:rPr>
          <w:rFonts w:ascii="Arial Narrow" w:hAnsi="Arial Narrow" w:cs="Segoe UI Semilight"/>
          <w:color w:val="000000"/>
          <w:sz w:val="26"/>
          <w:szCs w:val="26"/>
        </w:rPr>
        <w:t>licadas “el buen trabajo que se está haciendo para sacar adelante esta cantidad de expedientes, que son complejos por el volumen de tramitación que conlleva, además de por otros factores, pero que se están resolviendo satisfactoriamente en un plazo de tiem</w:t>
      </w:r>
      <w:r>
        <w:rPr>
          <w:rFonts w:ascii="Arial Narrow" w:hAnsi="Arial Narrow" w:cs="Segoe UI Semilight"/>
          <w:color w:val="000000"/>
          <w:sz w:val="26"/>
          <w:szCs w:val="26"/>
        </w:rPr>
        <w:t xml:space="preserve">po más que razonable”, ha señalado Belén de la Cuadra. </w:t>
      </w:r>
    </w:p>
    <w:p w:rsidR="000B2E35" w:rsidRDefault="000B2E35">
      <w:pPr>
        <w:jc w:val="both"/>
        <w:rPr>
          <w:rFonts w:ascii="Arial Narrow" w:hAnsi="Arial Narrow"/>
          <w:sz w:val="26"/>
          <w:szCs w:val="26"/>
        </w:rPr>
      </w:pPr>
    </w:p>
    <w:p w:rsidR="000B2E35" w:rsidRDefault="00C63EA3">
      <w:pPr>
        <w:jc w:val="both"/>
        <w:rPr>
          <w:rFonts w:ascii="Arial Narrow" w:hAnsi="Arial Narrow"/>
          <w:sz w:val="26"/>
          <w:szCs w:val="26"/>
        </w:rPr>
      </w:pPr>
      <w:r>
        <w:rPr>
          <w:rFonts w:ascii="Arial Narrow" w:hAnsi="Arial Narrow" w:cs="Segoe UI Semilight"/>
          <w:color w:val="000000"/>
          <w:sz w:val="26"/>
          <w:szCs w:val="26"/>
        </w:rPr>
        <w:t>Como dato que muestra esta afirmación, la delegada ha señalado que, en lo que va de legislatura, se han resuelto cinco ventas forzosas y otra culminará en breve. “Se trata de una cifra bastante posit</w:t>
      </w:r>
      <w:r>
        <w:rPr>
          <w:rFonts w:ascii="Arial Narrow" w:hAnsi="Arial Narrow" w:cs="Segoe UI Semilight"/>
          <w:color w:val="000000"/>
          <w:sz w:val="26"/>
          <w:szCs w:val="26"/>
        </w:rPr>
        <w:t xml:space="preserve">iva si la comparamos con el balance de la legislatura anterior, en la que se hicieron 11 ventas forzosas en los cuatro años que dura este periodo”. </w:t>
      </w:r>
    </w:p>
    <w:p w:rsidR="000B2E35" w:rsidRDefault="000B2E35">
      <w:pPr>
        <w:jc w:val="both"/>
        <w:rPr>
          <w:rFonts w:ascii="Arial Narrow" w:hAnsi="Arial Narrow" w:cs="Segoe UI Semilight"/>
          <w:color w:val="000000"/>
          <w:sz w:val="26"/>
          <w:szCs w:val="26"/>
        </w:rPr>
      </w:pPr>
    </w:p>
    <w:sectPr w:rsidR="000B2E35">
      <w:headerReference w:type="even" r:id="rId7"/>
      <w:headerReference w:type="default" r:id="rId8"/>
      <w:footerReference w:type="even" r:id="rId9"/>
      <w:footerReference w:type="default" r:id="rId10"/>
      <w:headerReference w:type="first" r:id="rId11"/>
      <w:footerReference w:type="first" r:id="rId12"/>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63EA3">
      <w:r>
        <w:separator/>
      </w:r>
    </w:p>
  </w:endnote>
  <w:endnote w:type="continuationSeparator" w:id="0">
    <w:p w:rsidR="00000000" w:rsidRDefault="00C63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E35" w:rsidRDefault="000B2E3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E35" w:rsidRDefault="00C63EA3">
    <w:pPr>
      <w:pStyle w:val="Piedepgina"/>
    </w:pPr>
    <w:r>
      <w:rPr>
        <w:noProof/>
        <w:lang w:eastAsia="es-ES"/>
      </w:rPr>
      <w:drawing>
        <wp:anchor distT="0" distB="0" distL="114935" distR="114935" simplePos="0" relativeHeight="251658240"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noChangeArrowheads="1"/>
                  </pic:cNvPicPr>
                </pic:nvPicPr>
                <pic:blipFill>
                  <a:blip r:embed="rId1"/>
                  <a:srcRect l="1276" r="1276"/>
                  <a:stretch>
                    <a:fillRect/>
                  </a:stretch>
                </pic:blipFill>
                <pic:spPr bwMode="auto">
                  <a:xfrm>
                    <a:off x="0" y="0"/>
                    <a:ext cx="793750" cy="1110615"/>
                  </a:xfrm>
                  <a:prstGeom prst="rect">
                    <a:avLst/>
                  </a:prstGeom>
                  <a:noFill/>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E35" w:rsidRDefault="00C63EA3">
    <w:pPr>
      <w:pStyle w:val="Piedepgina"/>
    </w:pPr>
    <w:r>
      <w:rPr>
        <w:noProof/>
        <w:lang w:eastAsia="es-ES"/>
      </w:rPr>
      <w:drawing>
        <wp:anchor distT="0" distB="0" distL="114935" distR="114935" simplePos="0" relativeHeight="251659264"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noChangeArrowheads="1"/>
                  </pic:cNvPicPr>
                </pic:nvPicPr>
                <pic:blipFill>
                  <a:blip r:embed="rId1"/>
                  <a:srcRect l="1276" r="1276"/>
                  <a:stretch>
                    <a:fillRect/>
                  </a:stretch>
                </pic:blipFill>
                <pic:spPr bwMode="auto">
                  <a:xfrm>
                    <a:off x="0" y="0"/>
                    <a:ext cx="793750" cy="111061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63EA3">
      <w:r>
        <w:separator/>
      </w:r>
    </w:p>
  </w:footnote>
  <w:footnote w:type="continuationSeparator" w:id="0">
    <w:p w:rsidR="00000000" w:rsidRDefault="00C63E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E35" w:rsidRDefault="000B2E3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E35" w:rsidRDefault="00C63EA3">
    <w:pPr>
      <w:pStyle w:val="Encabezado"/>
      <w:rPr>
        <w:lang w:eastAsia="es-ES"/>
      </w:rPr>
    </w:pPr>
    <w:r>
      <w:rPr>
        <w:noProof/>
        <w:lang w:eastAsia="es-ES"/>
      </w:rPr>
      <w:drawing>
        <wp:anchor distT="0" distB="0" distL="0" distR="0" simplePos="0" relativeHeight="251656192"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E35" w:rsidRDefault="00C63EA3">
    <w:pPr>
      <w:pStyle w:val="Encabezado"/>
      <w:rPr>
        <w:lang w:eastAsia="es-ES"/>
      </w:rPr>
    </w:pPr>
    <w:r>
      <w:rPr>
        <w:noProof/>
        <w:lang w:eastAsia="es-ES"/>
      </w:rPr>
      <w:drawing>
        <wp:anchor distT="0" distB="0" distL="0" distR="0" simplePos="0" relativeHeight="251657216"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EE60D4"/>
    <w:multiLevelType w:val="multilevel"/>
    <w:tmpl w:val="EAD233AE"/>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07E5D35"/>
    <w:multiLevelType w:val="multilevel"/>
    <w:tmpl w:val="2A1CDF6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E35"/>
    <w:rsid w:val="000B2E35"/>
    <w:rsid w:val="00C63EA3"/>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F84F3E-B2A8-436E-AE09-F17071752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numbering" w:customStyle="1" w:styleId="Ningunalista">
    <w:name w:val="Ninguna lista"/>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926</Words>
  <Characters>5096</Characters>
  <Application>Microsoft Office Word</Application>
  <DocSecurity>0</DocSecurity>
  <Lines>42</Lines>
  <Paragraphs>12</Paragraphs>
  <ScaleCrop>false</ScaleCrop>
  <Company>HP</Company>
  <LinksUpToDate>false</LinksUpToDate>
  <CharactersWithSpaces>6010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12</cp:revision>
  <cp:lastPrinted>2023-10-11T07:08:00Z</cp:lastPrinted>
  <dcterms:created xsi:type="dcterms:W3CDTF">2024-06-10T06:07:00Z</dcterms:created>
  <dcterms:modified xsi:type="dcterms:W3CDTF">2025-01-26T10:27:00Z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