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4732F" w:rsidRDefault="0064732F">
      <w:pPr>
        <w:rPr>
          <w:rStyle w:val="nfasis1"/>
          <w:rFonts w:ascii="Arial Narrow" w:hAnsi="Arial Narrow" w:cs="Arial Narrow"/>
          <w:b/>
          <w:bCs/>
          <w:i w:val="0"/>
          <w:sz w:val="40"/>
          <w:szCs w:val="40"/>
        </w:rPr>
      </w:pPr>
    </w:p>
    <w:p w:rsidR="0064732F" w:rsidRDefault="000648E2">
      <w:r>
        <w:rPr>
          <w:rFonts w:ascii="Arial Narrow" w:hAnsi="Arial Narrow" w:cs="Arial Narrow"/>
          <w:b/>
          <w:bCs/>
          <w:color w:val="000000"/>
          <w:sz w:val="40"/>
          <w:szCs w:val="40"/>
        </w:rPr>
        <w:t xml:space="preserve">El Ayuntamiento saca a licitación la concesión administrativa del aparcamiento subterráneo de la Plaza </w:t>
      </w:r>
      <w:proofErr w:type="spellStart"/>
      <w:r>
        <w:rPr>
          <w:rFonts w:ascii="Arial Narrow" w:hAnsi="Arial Narrow" w:cs="Arial Narrow"/>
          <w:b/>
          <w:bCs/>
          <w:color w:val="000000"/>
          <w:sz w:val="40"/>
          <w:szCs w:val="40"/>
        </w:rPr>
        <w:t>Alborán</w:t>
      </w:r>
      <w:proofErr w:type="spellEnd"/>
      <w:r>
        <w:rPr>
          <w:rFonts w:ascii="Arial Narrow" w:hAnsi="Arial Narrow" w:cs="Arial Narrow"/>
          <w:b/>
          <w:bCs/>
          <w:color w:val="000000"/>
          <w:sz w:val="40"/>
          <w:szCs w:val="40"/>
        </w:rPr>
        <w:t>, con 123 plazas</w:t>
      </w:r>
    </w:p>
    <w:p w:rsidR="0064732F" w:rsidRDefault="0064732F"/>
    <w:p w:rsidR="0064732F" w:rsidRDefault="000648E2">
      <w:pPr>
        <w:jc w:val="both"/>
      </w:pPr>
      <w:r>
        <w:rPr>
          <w:rFonts w:ascii="Arial Narrow" w:hAnsi="Arial Narrow"/>
          <w:b/>
          <w:bCs/>
          <w:sz w:val="26"/>
          <w:szCs w:val="26"/>
        </w:rPr>
        <w:t>21</w:t>
      </w:r>
      <w:bookmarkStart w:id="0" w:name="_GoBack"/>
      <w:bookmarkEnd w:id="0"/>
      <w:r>
        <w:rPr>
          <w:rFonts w:ascii="Arial Narrow" w:hAnsi="Arial Narrow"/>
          <w:b/>
          <w:bCs/>
          <w:sz w:val="26"/>
          <w:szCs w:val="26"/>
        </w:rPr>
        <w:t xml:space="preserve"> de enero de 2025.</w:t>
      </w:r>
      <w:r>
        <w:rPr>
          <w:rFonts w:ascii="Arial Narrow" w:hAnsi="Arial Narrow"/>
          <w:sz w:val="26"/>
          <w:szCs w:val="26"/>
        </w:rPr>
        <w:t xml:space="preserve"> El Ayuntamiento ha aprobado la convocatoria de licitación pública para adjudicar, en régimen de concesión administrativa, el uso y explotación del aparcamiento subterráneo de titularidad municipal situado en un edificio de la Plaza </w:t>
      </w:r>
      <w:proofErr w:type="spellStart"/>
      <w:r>
        <w:rPr>
          <w:rFonts w:ascii="Arial Narrow" w:hAnsi="Arial Narrow"/>
          <w:sz w:val="26"/>
          <w:szCs w:val="26"/>
        </w:rPr>
        <w:t>Alborán</w:t>
      </w:r>
      <w:proofErr w:type="spellEnd"/>
      <w:r>
        <w:rPr>
          <w:rFonts w:ascii="Arial Narrow" w:hAnsi="Arial Narrow"/>
          <w:sz w:val="26"/>
          <w:szCs w:val="26"/>
        </w:rPr>
        <w:t xml:space="preserve">, en el entorno </w:t>
      </w:r>
      <w:r>
        <w:rPr>
          <w:rFonts w:ascii="Arial Narrow" w:hAnsi="Arial Narrow"/>
          <w:sz w:val="26"/>
          <w:szCs w:val="26"/>
        </w:rPr>
        <w:t xml:space="preserve">de </w:t>
      </w:r>
      <w:proofErr w:type="spellStart"/>
      <w:r>
        <w:rPr>
          <w:rFonts w:ascii="Arial Narrow" w:hAnsi="Arial Narrow"/>
          <w:sz w:val="26"/>
          <w:szCs w:val="26"/>
        </w:rPr>
        <w:t>Princijerez</w:t>
      </w:r>
      <w:proofErr w:type="spellEnd"/>
      <w:r>
        <w:rPr>
          <w:rFonts w:ascii="Arial Narrow" w:hAnsi="Arial Narrow"/>
          <w:sz w:val="26"/>
          <w:szCs w:val="26"/>
        </w:rPr>
        <w:t xml:space="preserve">. </w:t>
      </w:r>
    </w:p>
    <w:p w:rsidR="0064732F" w:rsidRDefault="0064732F">
      <w:pPr>
        <w:jc w:val="both"/>
        <w:rPr>
          <w:rFonts w:ascii="Arial Narrow" w:hAnsi="Arial Narrow"/>
          <w:sz w:val="26"/>
          <w:szCs w:val="26"/>
        </w:rPr>
      </w:pPr>
    </w:p>
    <w:p w:rsidR="0064732F" w:rsidRDefault="000648E2">
      <w:pPr>
        <w:jc w:val="both"/>
      </w:pPr>
      <w:r>
        <w:rPr>
          <w:rFonts w:ascii="Arial Narrow" w:hAnsi="Arial Narrow"/>
          <w:sz w:val="26"/>
          <w:szCs w:val="26"/>
        </w:rPr>
        <w:t>El acuerdo, adoptado en Junta de Gobierno Local, incluye la aprobación de los</w:t>
      </w:r>
      <w:r>
        <w:rPr>
          <w:rFonts w:ascii="Arial Narrow" w:hAnsi="Arial Narrow" w:cs="Century Gothic"/>
          <w:color w:val="000000"/>
          <w:spacing w:val="-3"/>
          <w:sz w:val="26"/>
          <w:szCs w:val="26"/>
        </w:rPr>
        <w:t xml:space="preserve"> pliegos técnicos que regularán la licitación pública de este equipamiento, que lleva muchos años en situación de completo abandono por parte del anterior conces</w:t>
      </w:r>
      <w:r>
        <w:rPr>
          <w:rFonts w:ascii="Arial Narrow" w:hAnsi="Arial Narrow" w:cs="Century Gothic"/>
          <w:color w:val="000000"/>
          <w:spacing w:val="-3"/>
          <w:sz w:val="26"/>
          <w:szCs w:val="26"/>
        </w:rPr>
        <w:t xml:space="preserve">ionario. </w:t>
      </w:r>
      <w:r>
        <w:rPr>
          <w:rFonts w:ascii="Arial Narrow" w:hAnsi="Arial Narrow" w:cs="Century Gothic"/>
          <w:color w:val="000000"/>
          <w:sz w:val="26"/>
          <w:szCs w:val="26"/>
        </w:rPr>
        <w:t xml:space="preserve">El plazo de la concesión será de 20 años, fijándose como tipo mínimo de la licitación la cantidad de </w:t>
      </w:r>
      <w:r>
        <w:rPr>
          <w:rFonts w:ascii="Arial Narrow" w:hAnsi="Arial Narrow" w:cs="Century Gothic"/>
          <w:color w:val="000000"/>
          <w:sz w:val="26"/>
          <w:szCs w:val="26"/>
          <w:lang w:eastAsia="en-US"/>
        </w:rPr>
        <w:t xml:space="preserve">298.541,12 euros. </w:t>
      </w:r>
    </w:p>
    <w:p w:rsidR="0064732F" w:rsidRDefault="0064732F">
      <w:pPr>
        <w:jc w:val="both"/>
        <w:rPr>
          <w:rFonts w:cs="Century Gothic"/>
          <w:color w:val="000000"/>
          <w:spacing w:val="-3"/>
        </w:rPr>
      </w:pPr>
    </w:p>
    <w:p w:rsidR="0064732F" w:rsidRDefault="000648E2">
      <w:pPr>
        <w:pStyle w:val="Ttulo10"/>
        <w:spacing w:before="0" w:after="360"/>
        <w:jc w:val="both"/>
      </w:pPr>
      <w:r>
        <w:rPr>
          <w:rFonts w:ascii="Arial Narrow" w:eastAsia="Times New Roman" w:hAnsi="Arial Narrow" w:cs="Century Gothic"/>
          <w:color w:val="000000"/>
          <w:spacing w:val="-3"/>
          <w:sz w:val="26"/>
          <w:szCs w:val="26"/>
        </w:rPr>
        <w:t>El</w:t>
      </w:r>
      <w:r>
        <w:rPr>
          <w:rFonts w:ascii="Arial Narrow" w:eastAsia="Times New Roman" w:hAnsi="Arial Narrow" w:cs="Century Gothic"/>
          <w:color w:val="000000"/>
          <w:sz w:val="26"/>
          <w:szCs w:val="26"/>
        </w:rPr>
        <w:t xml:space="preserve"> aparcamiento subterráneo que es objeto de esta licitación está situado en la planta sótano 2 del edificio situado en la Pla</w:t>
      </w:r>
      <w:r>
        <w:rPr>
          <w:rFonts w:ascii="Arial Narrow" w:eastAsia="Times New Roman" w:hAnsi="Arial Narrow" w:cs="Century Gothic"/>
          <w:color w:val="000000"/>
          <w:sz w:val="26"/>
          <w:szCs w:val="26"/>
        </w:rPr>
        <w:t xml:space="preserve">za </w:t>
      </w:r>
      <w:proofErr w:type="spellStart"/>
      <w:r>
        <w:rPr>
          <w:rFonts w:ascii="Arial Narrow" w:eastAsia="Times New Roman" w:hAnsi="Arial Narrow" w:cs="Century Gothic"/>
          <w:color w:val="000000"/>
          <w:sz w:val="26"/>
          <w:szCs w:val="26"/>
        </w:rPr>
        <w:t>Alborán</w:t>
      </w:r>
      <w:proofErr w:type="spellEnd"/>
      <w:r>
        <w:rPr>
          <w:rFonts w:ascii="Arial Narrow" w:eastAsia="Times New Roman" w:hAnsi="Arial Narrow" w:cs="Century Gothic"/>
          <w:color w:val="000000"/>
          <w:sz w:val="26"/>
          <w:szCs w:val="26"/>
        </w:rPr>
        <w:t xml:space="preserve">, el cual consta, además, de una planta sótano 1, de uso comercial, y una planta de cubierta transitable que funciona como espacio público. El aparcamiento cuenta con una superficie construida </w:t>
      </w:r>
      <w:r>
        <w:rPr>
          <w:rFonts w:ascii="Arial Narrow" w:eastAsia="Arial" w:hAnsi="Arial Narrow" w:cs="Century Gothic"/>
          <w:color w:val="000000"/>
          <w:sz w:val="26"/>
          <w:szCs w:val="26"/>
        </w:rPr>
        <w:t>de 2.626,40 metros cuadrados</w:t>
      </w:r>
      <w:r>
        <w:rPr>
          <w:rFonts w:ascii="Arial Narrow" w:eastAsia="Times New Roman" w:hAnsi="Arial Narrow" w:cs="Century Gothic"/>
          <w:color w:val="000000"/>
          <w:sz w:val="26"/>
          <w:szCs w:val="26"/>
        </w:rPr>
        <w:t xml:space="preserve"> y tiene capacidad para</w:t>
      </w:r>
      <w:r>
        <w:rPr>
          <w:rFonts w:ascii="Arial Narrow" w:eastAsia="Arial" w:hAnsi="Arial Narrow" w:cs="Century Gothic"/>
          <w:color w:val="000000"/>
          <w:sz w:val="26"/>
          <w:szCs w:val="26"/>
        </w:rPr>
        <w:t xml:space="preserve"> 1</w:t>
      </w:r>
      <w:r>
        <w:rPr>
          <w:rFonts w:ascii="Arial Narrow" w:eastAsia="Arial" w:hAnsi="Arial Narrow" w:cs="Century Gothic"/>
          <w:color w:val="000000"/>
          <w:sz w:val="26"/>
          <w:szCs w:val="26"/>
        </w:rPr>
        <w:t>23 plazas,</w:t>
      </w:r>
      <w:r>
        <w:rPr>
          <w:rFonts w:ascii="Arial Narrow" w:eastAsia="Times New Roman" w:hAnsi="Arial Narrow" w:cs="Century Gothic"/>
          <w:color w:val="000000"/>
          <w:sz w:val="26"/>
          <w:szCs w:val="26"/>
        </w:rPr>
        <w:t xml:space="preserve"> de </w:t>
      </w:r>
      <w:proofErr w:type="gramStart"/>
      <w:r>
        <w:rPr>
          <w:rFonts w:ascii="Arial Narrow" w:eastAsia="Times New Roman" w:hAnsi="Arial Narrow" w:cs="Century Gothic"/>
          <w:color w:val="000000"/>
          <w:sz w:val="26"/>
          <w:szCs w:val="26"/>
        </w:rPr>
        <w:t>las</w:t>
      </w:r>
      <w:proofErr w:type="gramEnd"/>
      <w:r>
        <w:rPr>
          <w:rFonts w:ascii="Arial Narrow" w:eastAsia="Times New Roman" w:hAnsi="Arial Narrow" w:cs="Century Gothic"/>
          <w:color w:val="000000"/>
          <w:sz w:val="26"/>
          <w:szCs w:val="26"/>
        </w:rPr>
        <w:t xml:space="preserve"> cuales, al menos el 50% serán de uso rotatorio, según se establece en el pliego de cláusulas administrativas. </w:t>
      </w:r>
    </w:p>
    <w:p w:rsidR="0064732F" w:rsidRDefault="000648E2">
      <w:pPr>
        <w:pStyle w:val="Textoindependiente"/>
        <w:spacing w:after="360" w:line="240" w:lineRule="auto"/>
        <w:jc w:val="both"/>
      </w:pPr>
      <w:r>
        <w:rPr>
          <w:rFonts w:ascii="Arial Narrow" w:hAnsi="Arial Narrow" w:cs="Century Gothic"/>
          <w:color w:val="000000"/>
          <w:sz w:val="26"/>
          <w:szCs w:val="26"/>
          <w:lang w:eastAsia="en-US"/>
        </w:rPr>
        <w:t>Con esta licitación, el Ayuntamiento pretende propiciar la reforma, adecentamiento y puesta en uso de este aparcamiento subterr</w:t>
      </w:r>
      <w:r>
        <w:rPr>
          <w:rFonts w:ascii="Arial Narrow" w:hAnsi="Arial Narrow" w:cs="Century Gothic"/>
          <w:color w:val="000000"/>
          <w:sz w:val="26"/>
          <w:szCs w:val="26"/>
          <w:lang w:eastAsia="en-US"/>
        </w:rPr>
        <w:t xml:space="preserve">áneo, que acumula en toda su superficie numerosos restos de materiales, escombros y suciedad y ha sido completamente </w:t>
      </w:r>
      <w:proofErr w:type="spellStart"/>
      <w:r>
        <w:rPr>
          <w:rFonts w:ascii="Arial Narrow" w:hAnsi="Arial Narrow" w:cs="Century Gothic"/>
          <w:color w:val="000000"/>
          <w:sz w:val="26"/>
          <w:szCs w:val="26"/>
          <w:lang w:eastAsia="en-US"/>
        </w:rPr>
        <w:t>vandalizado</w:t>
      </w:r>
      <w:proofErr w:type="spellEnd"/>
      <w:r>
        <w:rPr>
          <w:rFonts w:ascii="Arial Narrow" w:hAnsi="Arial Narrow" w:cs="Century Gothic"/>
          <w:color w:val="000000"/>
          <w:sz w:val="26"/>
          <w:szCs w:val="26"/>
          <w:lang w:eastAsia="en-US"/>
        </w:rPr>
        <w:t xml:space="preserve"> en varias ocasiones. </w:t>
      </w:r>
    </w:p>
    <w:p w:rsidR="0064732F" w:rsidRDefault="000648E2">
      <w:pPr>
        <w:jc w:val="both"/>
      </w:pPr>
      <w:r>
        <w:rPr>
          <w:rFonts w:ascii="Arial Narrow" w:hAnsi="Arial Narrow" w:cs="Century Gothic"/>
          <w:color w:val="000000"/>
          <w:sz w:val="26"/>
          <w:szCs w:val="26"/>
          <w:lang w:eastAsia="en-US"/>
        </w:rPr>
        <w:t>Entre los criterios de adjudicación se establecen el criterio económico y de carácter social, mediante el</w:t>
      </w:r>
      <w:r>
        <w:rPr>
          <w:rFonts w:ascii="Arial Narrow" w:hAnsi="Arial Narrow" w:cs="Century Gothic"/>
          <w:color w:val="000000"/>
          <w:sz w:val="26"/>
          <w:szCs w:val="26"/>
          <w:lang w:eastAsia="en-US"/>
        </w:rPr>
        <w:t xml:space="preserve"> que se valorará la </w:t>
      </w:r>
      <w:r>
        <w:rPr>
          <w:rFonts w:ascii="Arial Narrow" w:eastAsia="Trebuchet MS" w:hAnsi="Arial Narrow" w:cs="Century Gothic"/>
          <w:color w:val="000000"/>
          <w:sz w:val="26"/>
          <w:szCs w:val="26"/>
        </w:rPr>
        <w:t xml:space="preserve">inserción </w:t>
      </w:r>
      <w:proofErr w:type="spellStart"/>
      <w:r>
        <w:rPr>
          <w:rFonts w:ascii="Arial Narrow" w:eastAsia="Trebuchet MS" w:hAnsi="Arial Narrow" w:cs="Century Gothic"/>
          <w:color w:val="000000"/>
          <w:sz w:val="26"/>
          <w:szCs w:val="26"/>
        </w:rPr>
        <w:t>sociolaboral</w:t>
      </w:r>
      <w:proofErr w:type="spellEnd"/>
      <w:r>
        <w:rPr>
          <w:rFonts w:ascii="Arial Narrow" w:eastAsia="Trebuchet MS" w:hAnsi="Arial Narrow" w:cs="Century Gothic"/>
          <w:color w:val="000000"/>
          <w:sz w:val="26"/>
          <w:szCs w:val="26"/>
        </w:rPr>
        <w:t xml:space="preserve"> de personas demandantes de empleo mayores de 50 años. Asimismo, se ha incluido como criterios de mejora</w:t>
      </w:r>
      <w:r>
        <w:rPr>
          <w:rFonts w:ascii="Arial Narrow" w:hAnsi="Arial Narrow" w:cs="Century Gothic"/>
          <w:color w:val="000000"/>
          <w:sz w:val="26"/>
          <w:szCs w:val="26"/>
        </w:rPr>
        <w:t xml:space="preserve"> la inclusión</w:t>
      </w:r>
      <w:r>
        <w:rPr>
          <w:rFonts w:ascii="Arial Narrow" w:eastAsia="Trebuchet MS" w:hAnsi="Arial Narrow" w:cs="Century Gothic"/>
          <w:color w:val="000000"/>
          <w:sz w:val="26"/>
          <w:szCs w:val="26"/>
        </w:rPr>
        <w:t xml:space="preserve"> de puntos de recarga eléctrica de vehículos automóviles en el aparcamiento  subterráneo, así como la habilitación de puntos específicos de enganche para bicicletas y vehículos de movilidad personal (VMP). </w:t>
      </w:r>
    </w:p>
    <w:p w:rsidR="0064732F" w:rsidRDefault="0064732F">
      <w:pPr>
        <w:jc w:val="both"/>
        <w:rPr>
          <w:rFonts w:ascii="Arial Narrow" w:hAnsi="Arial Narrow" w:cs="Century Gothic"/>
          <w:color w:val="000000"/>
          <w:sz w:val="26"/>
          <w:szCs w:val="26"/>
        </w:rPr>
      </w:pPr>
    </w:p>
    <w:p w:rsidR="0064732F" w:rsidRDefault="000648E2">
      <w:pPr>
        <w:jc w:val="both"/>
      </w:pPr>
      <w:r>
        <w:rPr>
          <w:rFonts w:ascii="Arial Narrow" w:hAnsi="Arial Narrow" w:cs="Century Gothic"/>
          <w:color w:val="000000"/>
          <w:sz w:val="26"/>
          <w:szCs w:val="26"/>
        </w:rPr>
        <w:t>La entidad que resulte adjudicataria de la conce</w:t>
      </w:r>
      <w:r>
        <w:rPr>
          <w:rFonts w:ascii="Arial Narrow" w:hAnsi="Arial Narrow" w:cs="Century Gothic"/>
          <w:color w:val="000000"/>
          <w:sz w:val="26"/>
          <w:szCs w:val="26"/>
        </w:rPr>
        <w:t>sión asumirá las obras de mantenimiento, reparación, reforma, revisión, adaptación y mejora técnica que sean necesarias en el inmueble para su puesta en uso, incluyendo todas las instalaciones y acometidas obligatorias y necesarias para su normal funcionam</w:t>
      </w:r>
      <w:r>
        <w:rPr>
          <w:rFonts w:ascii="Arial Narrow" w:hAnsi="Arial Narrow" w:cs="Century Gothic"/>
          <w:color w:val="000000"/>
          <w:sz w:val="26"/>
          <w:szCs w:val="26"/>
        </w:rPr>
        <w:t xml:space="preserve">iento. </w:t>
      </w:r>
    </w:p>
    <w:sectPr w:rsidR="006473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648E2">
      <w:r>
        <w:separator/>
      </w:r>
    </w:p>
  </w:endnote>
  <w:endnote w:type="continuationSeparator" w:id="0">
    <w:p w:rsidR="00000000" w:rsidRDefault="0006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32F" w:rsidRDefault="0064732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32F" w:rsidRDefault="000648E2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76" r="127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32F" w:rsidRDefault="000648E2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9264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76" r="127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648E2">
      <w:r>
        <w:separator/>
      </w:r>
    </w:p>
  </w:footnote>
  <w:footnote w:type="continuationSeparator" w:id="0">
    <w:p w:rsidR="00000000" w:rsidRDefault="00064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32F" w:rsidRDefault="0064732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32F" w:rsidRDefault="000648E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32F" w:rsidRDefault="000648E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02C77"/>
    <w:multiLevelType w:val="multilevel"/>
    <w:tmpl w:val="1A9AEC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CF53F0"/>
    <w:multiLevelType w:val="multilevel"/>
    <w:tmpl w:val="B0FE6E3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2F"/>
    <w:rsid w:val="000648E2"/>
    <w:rsid w:val="0064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A563E-0F1E-4F2A-B6CC-7214BB02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C2E3B"/>
    <w:rPr>
      <w:rFonts w:ascii="Tahoma" w:hAnsi="Tahoma" w:cs="Tahoma"/>
      <w:kern w:val="2"/>
      <w:sz w:val="24"/>
      <w:lang w:eastAsia="zh-CN"/>
    </w:rPr>
  </w:style>
  <w:style w:type="character" w:customStyle="1" w:styleId="Fuentedeprrafopredeter18">
    <w:name w:val="Fuente de párrafo predeter.18"/>
    <w:qFormat/>
    <w:rsid w:val="00451E7D"/>
  </w:style>
  <w:style w:type="character" w:customStyle="1" w:styleId="nfasis1">
    <w:name w:val="Énfasis1"/>
    <w:qFormat/>
    <w:rsid w:val="00451E7D"/>
    <w:rPr>
      <w:i/>
      <w:iCs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qFormat/>
    <w:rsid w:val="00863436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Prrafodelista3">
    <w:name w:val="Párrafo de lista3"/>
    <w:basedOn w:val="Normal"/>
    <w:qFormat/>
    <w:rsid w:val="00451E7D"/>
    <w:pPr>
      <w:ind w:left="720"/>
    </w:pPr>
    <w:rPr>
      <w:rFonts w:ascii="Calibri" w:eastAsia="Calibri" w:hAnsi="Calibri" w:cs="Calibri"/>
    </w:rPr>
  </w:style>
  <w:style w:type="paragraph" w:styleId="Textosinformato">
    <w:name w:val="Plain Text"/>
    <w:basedOn w:val="Normal"/>
    <w:link w:val="TextosinformatoCar"/>
    <w:qFormat/>
    <w:rPr>
      <w:rFonts w:ascii="Consolas" w:eastAsia="Calibri" w:hAnsi="Consolas" w:cs="Consolas"/>
      <w:sz w:val="21"/>
      <w:szCs w:val="21"/>
    </w:rPr>
  </w:style>
  <w:style w:type="paragraph" w:customStyle="1" w:styleId="Standard1">
    <w:name w:val="Standard1"/>
    <w:qFormat/>
    <w:rPr>
      <w:color w:val="00000A"/>
      <w:sz w:val="24"/>
      <w:lang w:val="en-US" w:eastAsia="zh-CN"/>
    </w:rPr>
  </w:style>
  <w:style w:type="numbering" w:customStyle="1" w:styleId="Ningunalista">
    <w:name w:val="Ninguna lista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363</Words>
  <Characters>2001</Characters>
  <Application>Microsoft Office Word</Application>
  <DocSecurity>0</DocSecurity>
  <Lines>16</Lines>
  <Paragraphs>4</Paragraphs>
  <ScaleCrop>false</ScaleCrop>
  <Company>HP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29</cp:revision>
  <cp:lastPrinted>2023-10-11T07:08:00Z</cp:lastPrinted>
  <dcterms:created xsi:type="dcterms:W3CDTF">2025-01-16T10:47:00Z</dcterms:created>
  <dcterms:modified xsi:type="dcterms:W3CDTF">2025-01-21T07:18:00Z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