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cs="Arial" w:ascii="Arial Narrow" w:hAnsi="Arial Narrow"/>
          <w:b/>
          <w:color w:val="000000"/>
          <w:sz w:val="40"/>
          <w:szCs w:val="26"/>
        </w:rPr>
        <w:t>Comujesa aprueba la estabilización de 250 trabajadores de la plantilla del Servicio de Ayuda a Domicilio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rFonts w:eastAsia="Tahoma" w:ascii="Arial Narrow" w:hAnsi="Arial Narrow"/>
          <w:color w:val="000000"/>
          <w:sz w:val="36"/>
          <w:szCs w:val="36"/>
        </w:rPr>
        <w:t>La alcaldesa se comprometió con ellos a mejorar en 2024 sus condiciones laborales y la atención a usuarios y usuarias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b/>
          <w:color w:val="000000"/>
          <w:sz w:val="26"/>
          <w:szCs w:val="26"/>
        </w:rPr>
        <w:t>30 de diciembre de 2024.</w:t>
      </w:r>
      <w:r>
        <w:rPr>
          <w:rFonts w:ascii="Arial Narrow" w:hAnsi="Arial Narrow"/>
          <w:color w:val="000000"/>
          <w:sz w:val="26"/>
          <w:szCs w:val="26"/>
        </w:rPr>
        <w:t xml:space="preserve">  </w:t>
      </w:r>
      <w:r>
        <w:rPr>
          <w:rFonts w:ascii="Arial Narrow" w:hAnsi="Arial Narrow"/>
          <w:color w:val="000000"/>
          <w:sz w:val="26"/>
          <w:szCs w:val="26"/>
        </w:rPr>
        <w:t xml:space="preserve">Una de las comisiones de seguimiento de Comujesa </w:t>
      </w:r>
      <w:r>
        <w:rPr>
          <w:rFonts w:ascii="Arial Narrow" w:hAnsi="Arial Narrow"/>
          <w:color w:val="000000"/>
          <w:sz w:val="26"/>
          <w:szCs w:val="26"/>
        </w:rPr>
        <w:t xml:space="preserve"> ha aprobado hoy el proceso de estabilización de 250 trabajadoras y trabajadores del Servicio de Ayuda a Domicilio, cuyos contratos pasarán de ser fijos discontinuos a fijos. La </w:t>
      </w:r>
      <w:r>
        <w:rPr>
          <w:rFonts w:eastAsia="Tahoma" w:ascii="Arial Narrow" w:hAnsi="Arial Narrow"/>
          <w:color w:val="000000"/>
          <w:sz w:val="26"/>
          <w:szCs w:val="26"/>
        </w:rPr>
        <w:t xml:space="preserve">gerente de Comujesa, Hayat Abdel-lah Ahmed, explica que esta medida se ha tomado “teniendo en cuenta las necesidades del servicios, ya que en los últimos meses se ha ampliado el numero de usuarios y usuarias de este servicio”.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eastAsia="Tahoma" w:ascii="Arial Narrow" w:hAnsi="Arial Narrow"/>
          <w:color w:val="000000"/>
          <w:sz w:val="26"/>
          <w:szCs w:val="26"/>
        </w:rPr>
        <w:t>Asimismo, la gerente de esta empresa municipal explica que “la alcaldesa, María José García-Pelayo se comprometió el pasado verano con la plantilla del Servicio de Ayuda a Domicilio a mejorar sus condiciones laborales durante el año 2024, y con esta última medida del año se cumple con su promesa”.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eastAsia="Tahoma" w:ascii="Arial Narrow" w:hAnsi="Arial Narrow"/>
          <w:color w:val="000000"/>
          <w:sz w:val="26"/>
          <w:szCs w:val="26"/>
        </w:rPr>
        <w:t xml:space="preserve">Cabe recordar que esta medida de estabilización aprobada hoy por el Consejo de Administración de Comujesa, se suma a otra iniciativa que ya benefició, el pasado verano, a los trabajadores y trabajadoras de este servicio esencial para nuestros mayores. Concretamente, un total de </w:t>
      </w:r>
      <w:r>
        <w:rPr>
          <w:rFonts w:ascii="Arial Narrow" w:hAnsi="Arial Narrow"/>
          <w:color w:val="000000"/>
          <w:sz w:val="26"/>
          <w:szCs w:val="26"/>
        </w:rPr>
        <w:t xml:space="preserve">362 auxiliares se incorporaron el 14 se septiembre de este año a la plantilla del Servicio de Ayuda a Domicilio de Jerez, lo que sin duda alguna fue una medida que tanto aportó estabilidad laboral como mejoró el servicio que se presta a sus usuarios y usuarias.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sz w:val="26"/>
          <w:szCs w:val="26"/>
        </w:rPr>
        <w:t xml:space="preserve">Sin olvidar, que 2024 comenzó para esta plantilla con otra medida importante para ellos, como fue la firma, en el mes de enero, </w:t>
      </w:r>
      <w:r>
        <w:rPr>
          <w:rFonts w:cs="Trebuchet MS" w:ascii="Arial Narrow" w:hAnsi="Arial Narrow"/>
          <w:sz w:val="26"/>
          <w:szCs w:val="26"/>
        </w:rPr>
        <w:t xml:space="preserve">del nuevo convenio laboral, que cuenta con una vigencia de cuatro años y contempla </w:t>
      </w:r>
      <w:r>
        <w:rPr>
          <w:rFonts w:eastAsia="Tahoma" w:cs="Trebuchet MS" w:ascii="Arial Narrow" w:hAnsi="Arial Narrow"/>
          <w:color w:val="000000"/>
          <w:sz w:val="26"/>
          <w:szCs w:val="26"/>
        </w:rPr>
        <w:t>mejoras tanto económicas como sociales.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LibreOffice/7.3.6.2$Windows_X86_64 LibreOffice_project/c28ca90fd6e1a19e189fc16c05f8f8924961e12e</Application>
  <AppVersion>15.0000</AppVersion>
  <Pages>1</Pages>
  <Words>296</Words>
  <Characters>1496</Characters>
  <CharactersWithSpaces>1790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2024-12-30T14:28:52Z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