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7580" w:rsidRDefault="001D367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primera convocatoria de ayudas para el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Hub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Net Zero Jerez estará disponible el último trimestre de este año</w:t>
      </w:r>
    </w:p>
    <w:p w:rsidR="000B7580" w:rsidRDefault="001D367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sz w:val="32"/>
          <w:szCs w:val="32"/>
        </w:rPr>
      </w:pPr>
      <w:r>
        <w:rPr>
          <w:rFonts w:ascii="Arial Narrow" w:hAnsi="Arial Narrow" w:cs="Arial Narrow"/>
          <w:sz w:val="32"/>
          <w:szCs w:val="32"/>
          <w:lang w:eastAsia="es-ES_tradnl"/>
        </w:rPr>
        <w:t>La alcaldesa de Jerez y el consejero de Industria dan a conocer las últimas novedades del proyecto</w:t>
      </w: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20 de agosto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Junta de Andalucía lanzará en el último trimestre de este año la primera convocatoria de ayudas de los Fondos de Transición Justa destinados al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Hub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Aeronáutico Net Zero Jerez. Así lo ha dado a conocer el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consejero de Industria, Energía y Minas, Jorge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radela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quien ha comparecido en el Ayuntamiento de Jerez junto a la alcaldesa de la ciudad para avanzar las últimas novedades de este proyecto.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 trata del siguiente paso que, como ha explicado el consejero, tendrá lugar una vez queden fijados los criter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ios de selección que permitirá elaborar dicha convocatoria. “Queremos convertir a Jerez en un polo de desarrollo industrial para la aviación sostenible y en poco tiempo hemos recibido una gran respuesta por parte de las empresas interesadas. Queremos atrae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 una industria de alto valor añadido de media y alta tecnología y el aeronáutico es en la provincia de Cádiz un sector muy destacado”, ha dicho Jorge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Paradela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García-Pelayo ha resaltado el enorme interés que ha despertado el proyecto ‘Net Zero Jerez’ -r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ecogido en el Plan Jerez-  gracias a los retos de la transición energética en el transporte aéreo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.  “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Hub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tiene una razón de ser que convierte a Jerez en pionera en proyectos de este tipo como es realizar una apuesta con la aviación sostenible, con empre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sas que permitan el desarrollo aeronáutico de esta ciudad, Andalucía y España”, ha afirmado la alcaldesa quien ha significado la gestión transparente y agilizada de proyecto en solo cinco meses. Igualmente ha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agradecido el “compromiso firme” del consejero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Industria, Energía y Minas así como de todo el gobierno de Juanma Moreno para poner en marcha este proyecto que supone un “impulso definitivo a la generación de riqueza y empleo en Jerez”. 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Cabe recordar que el pasado mes de julio se conocían los resul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tados de las manifestaciones de interés para impulsar el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Hub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tras el plazo abierto por la C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onsejería de industria de la Junta de Andalucía y que confirmaba la presentación de hasta catorce proyectos de doce empresas por un valor de 203 millones. Entre las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presentadas figuran iniciativas relacionadas con el desarrollo de aviones ‘cero emisiones’, la fabricación de nuevos materiales, la puesta en marcha de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startups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o de mantenimiento y reparación de aeronaves entre otras ideas.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lastRenderedPageBreak/>
        <w:t xml:space="preserve">Ecosistema Industrial </w:t>
      </w:r>
    </w:p>
    <w:p w:rsidR="001D3679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Hub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Aeronáutico Net Zero Jerez surge con la clara intención de impulsar un ecosistema industrial centrado en la aviación sostenible, nuevos combustibles y nuevos procesos para el MRO (Mantenimiento, Reparación y Operaciones en la industria aeronáutica) con se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en nuestra ciudad. La iniciativa nace con la visión de posicionar a Andalucía y a Jerez como referente en el desarrollo de esa aviación de futuro dentro de la Estrategia Aeroespacial Autonómica que comprende el desarrollo de estas actividades como un ám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bito de oportunidad industrial siendo nuestra ciudad un nodo de potencial crecimiento en este ámbito.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principios del pasado mes de marzo se celebró una importante reunión en el Ayuntamiento con la Junta de Andalucía (representada por las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viceconsejeras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Industria e Innovación, Ana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Vielba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Lorena Garrido respectivamente) y empresas, entidades y asociaciones empresariales a las que se presentó el proyecto.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Del mismo modo, el pasado mes de junio, el Ayuntamiento de Jerez y la multinacional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Plug&amp;Play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fir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maron un convenio de colaboración para la instalación de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startups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este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Hub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Aeronáutico.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Plug&amp;Play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es una empresa con amplia experiencia internacional en desarrollar programas similares al del proyecto tractor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Hub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aeronáutico Net Zero, y cuenta con una 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ed implantada en más de 50 ciudades en el mundo con el objetivo de fomentar la innovación, desarrollando más de 60 programas al año donde participaron más de 2.700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startups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gobierno local contempla nuevos suelos industriales en Dehesa de Siles y La Je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rezana (en total millón y medio de metros cuadrados), más 34 hectáreas del Gobierno, a través de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Aena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al sur de la terminal reservadas para actividades aeroportuarias en el entorno del aeródromo jerezano que permitirán el desarrollo físico de este gran pol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o.</w:t>
      </w:r>
    </w:p>
    <w:p w:rsidR="001D3679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D3679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(Se adjunta fotografías y enlace de audio:</w:t>
      </w:r>
    </w:p>
    <w:p w:rsidR="001D3679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1D3679" w:rsidRDefault="001D3679" w:rsidP="001D3679">
      <w:pPr>
        <w:pStyle w:val="Textosinformato"/>
      </w:pPr>
      <w:hyperlink r:id="rId7" w:history="1">
        <w:r>
          <w:rPr>
            <w:rStyle w:val="Hipervnculo"/>
          </w:rPr>
          <w:t>https://soundcloud.com/user-162770691/hub-m4a/s-Qc1MTpLUkL4</w:t>
        </w:r>
      </w:hyperlink>
    </w:p>
    <w:p w:rsidR="001D3679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bookmarkStart w:id="0" w:name="_GoBack"/>
      <w:bookmarkEnd w:id="0"/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1D367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B7580" w:rsidRDefault="000B7580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0B7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3679">
      <w:r>
        <w:separator/>
      </w:r>
    </w:p>
  </w:endnote>
  <w:endnote w:type="continuationSeparator" w:id="0">
    <w:p w:rsidR="00000000" w:rsidRDefault="001D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80" w:rsidRDefault="000B75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80" w:rsidRDefault="001D367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6192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80" w:rsidRDefault="001D367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7216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3679">
      <w:r>
        <w:separator/>
      </w:r>
    </w:p>
  </w:footnote>
  <w:footnote w:type="continuationSeparator" w:id="0">
    <w:p w:rsidR="00000000" w:rsidRDefault="001D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80" w:rsidRDefault="000B75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80" w:rsidRDefault="001D367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80" w:rsidRDefault="001D367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6C"/>
    <w:multiLevelType w:val="multilevel"/>
    <w:tmpl w:val="B31A84A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FD4E12"/>
    <w:multiLevelType w:val="multilevel"/>
    <w:tmpl w:val="BE4E2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80"/>
    <w:rsid w:val="000B7580"/>
    <w:rsid w:val="001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0E327-A3D4-4C4D-9B5C-FFF1B1E3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D3679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D3679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D367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hub-m4a/s-Qc1MTpLUkL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696</Words>
  <Characters>3834</Characters>
  <Application>Microsoft Office Word</Application>
  <DocSecurity>0</DocSecurity>
  <Lines>31</Lines>
  <Paragraphs>9</Paragraphs>
  <ScaleCrop>false</ScaleCrop>
  <Company>HP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34</cp:revision>
  <cp:lastPrinted>2024-04-12T08:20:00Z</cp:lastPrinted>
  <dcterms:created xsi:type="dcterms:W3CDTF">2024-08-20T06:10:00Z</dcterms:created>
  <dcterms:modified xsi:type="dcterms:W3CDTF">2024-08-20T11:22:00Z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