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23920AE" w14:textId="77777777" w:rsidR="00427ACA" w:rsidRDefault="00427ACA" w:rsidP="00427ACA">
      <w:pPr>
        <w:jc w:val="both"/>
        <w:rPr>
          <w:rFonts w:ascii="Arial Narrow" w:eastAsia="Tahoma" w:hAnsi="Arial Narrow" w:cs="Arial"/>
          <w:sz w:val="32"/>
          <w:szCs w:val="32"/>
          <w:u w:val="single"/>
        </w:rPr>
      </w:pPr>
    </w:p>
    <w:p w14:paraId="37CEC3C5" w14:textId="77777777" w:rsidR="00427ACA" w:rsidRDefault="00427ACA" w:rsidP="00427ACA">
      <w:pPr>
        <w:jc w:val="both"/>
        <w:rPr>
          <w:rFonts w:ascii="Arial Narrow" w:eastAsia="Tahoma" w:hAnsi="Arial Narrow" w:cs="Arial"/>
          <w:sz w:val="32"/>
          <w:szCs w:val="32"/>
          <w:u w:val="single"/>
        </w:rPr>
      </w:pPr>
      <w:r>
        <w:rPr>
          <w:rFonts w:ascii="Arial Narrow" w:eastAsia="Tahoma" w:hAnsi="Arial Narrow" w:cs="Arial"/>
          <w:sz w:val="32"/>
          <w:szCs w:val="32"/>
          <w:u w:val="single"/>
        </w:rPr>
        <w:t>Junta de Gobierno Local</w:t>
      </w:r>
    </w:p>
    <w:p w14:paraId="33A174E3" w14:textId="77777777" w:rsidR="00427ACA" w:rsidRDefault="00427ACA" w:rsidP="00CC2E3B">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p>
    <w:p w14:paraId="36A28C5D" w14:textId="44823C6B" w:rsidR="00D772DD" w:rsidRDefault="00D772DD" w:rsidP="00D772DD">
      <w:pPr>
        <w:rPr>
          <w:rFonts w:ascii="Arial Narrow" w:eastAsia="Tahoma" w:hAnsi="Arial Narrow" w:cs="Arial"/>
          <w:b/>
          <w:bCs/>
          <w:sz w:val="40"/>
          <w:szCs w:val="40"/>
        </w:rPr>
      </w:pPr>
      <w:r>
        <w:rPr>
          <w:rFonts w:ascii="Arial Narrow" w:eastAsia="Tahoma" w:hAnsi="Arial Narrow" w:cs="Arial"/>
          <w:b/>
          <w:bCs/>
          <w:sz w:val="40"/>
          <w:szCs w:val="40"/>
        </w:rPr>
        <w:t>El Ayuntamiento da un nuevo paso para la restauración y reapertura del antiguo Cine Jerezano</w:t>
      </w:r>
    </w:p>
    <w:p w14:paraId="14EFACBF" w14:textId="77777777" w:rsidR="00D772DD" w:rsidRDefault="00D772DD" w:rsidP="00D772DD">
      <w:pPr>
        <w:rPr>
          <w:rFonts w:ascii="Arial Narrow" w:eastAsia="Tahoma" w:hAnsi="Arial Narrow" w:cs="Arial"/>
          <w:b/>
          <w:bCs/>
          <w:sz w:val="40"/>
          <w:szCs w:val="40"/>
        </w:rPr>
      </w:pPr>
    </w:p>
    <w:p w14:paraId="5E5B2170" w14:textId="72BE8A6D" w:rsidR="00102AEF" w:rsidRPr="00102AEF" w:rsidRDefault="00102AEF" w:rsidP="00102AEF">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15</w:t>
      </w:r>
      <w:r w:rsidR="00CC2E3B">
        <w:rPr>
          <w:rFonts w:ascii="Arial Narrow" w:eastAsia="Arial" w:hAnsi="Arial Narrow" w:cs="Arial Narrow"/>
          <w:b/>
          <w:bCs/>
          <w:sz w:val="26"/>
          <w:szCs w:val="26"/>
          <w:lang w:eastAsia="es-ES_tradnl"/>
        </w:rPr>
        <w:t xml:space="preserve"> de julio de 2024. </w:t>
      </w:r>
      <w:r w:rsidR="004C5396">
        <w:rPr>
          <w:rFonts w:ascii="Arial Narrow" w:eastAsia="Arial" w:hAnsi="Arial Narrow" w:cs="Arial Narrow"/>
          <w:sz w:val="26"/>
          <w:szCs w:val="26"/>
          <w:lang w:eastAsia="es-ES_tradnl"/>
        </w:rPr>
        <w:t xml:space="preserve">La Junta de Gobierno Local </w:t>
      </w:r>
      <w:r>
        <w:rPr>
          <w:rFonts w:ascii="Arial Narrow" w:eastAsia="Arial" w:hAnsi="Arial Narrow" w:cs="Arial Narrow"/>
          <w:sz w:val="26"/>
          <w:szCs w:val="26"/>
          <w:lang w:eastAsia="es-ES_tradnl"/>
        </w:rPr>
        <w:t xml:space="preserve">ha aprobado también la actualización de las prescripciones de protección de la finca del antiguo Cine Jerezano. Hay que recordar que </w:t>
      </w:r>
      <w:r w:rsidRPr="00102AEF">
        <w:rPr>
          <w:rFonts w:ascii="Arial Narrow" w:hAnsi="Arial Narrow"/>
          <w:bCs/>
          <w:sz w:val="26"/>
          <w:szCs w:val="26"/>
        </w:rPr>
        <w:t xml:space="preserve">esta actualización ya fue aprobada por la Comisión Local de Patrimonio Histórico celebrada este mes de julio y ahora </w:t>
      </w:r>
      <w:r>
        <w:rPr>
          <w:rFonts w:ascii="Arial Narrow" w:hAnsi="Arial Narrow"/>
          <w:bCs/>
          <w:sz w:val="26"/>
          <w:szCs w:val="26"/>
        </w:rPr>
        <w:t>"</w:t>
      </w:r>
      <w:r w:rsidRPr="00102AEF">
        <w:rPr>
          <w:rFonts w:ascii="Arial Narrow" w:hAnsi="Arial Narrow"/>
          <w:bCs/>
          <w:sz w:val="26"/>
          <w:szCs w:val="26"/>
        </w:rPr>
        <w:t>avanzamos un paso más para la restauración del inmueble que se convertirá en un espacio escénico destinado a acoger obras teatrales, musicales, congresos o conven</w:t>
      </w:r>
      <w:r>
        <w:rPr>
          <w:rFonts w:ascii="Arial Narrow" w:hAnsi="Arial Narrow"/>
          <w:bCs/>
          <w:sz w:val="26"/>
          <w:szCs w:val="26"/>
        </w:rPr>
        <w:t>ciones, entre otras actividades", ha explicado el primer teniente de alcaldesa, Agustín Muñoz.</w:t>
      </w:r>
      <w:r w:rsidRPr="00102AEF">
        <w:rPr>
          <w:rFonts w:ascii="Arial Narrow" w:hAnsi="Arial Narrow"/>
          <w:bCs/>
          <w:sz w:val="26"/>
          <w:szCs w:val="26"/>
        </w:rPr>
        <w:t xml:space="preserve"> </w:t>
      </w:r>
    </w:p>
    <w:p w14:paraId="691EA8F7" w14:textId="77777777" w:rsidR="00102AEF" w:rsidRPr="00102AEF" w:rsidRDefault="00102AEF" w:rsidP="00102AEF">
      <w:pPr>
        <w:jc w:val="both"/>
        <w:rPr>
          <w:rFonts w:ascii="Arial Narrow" w:hAnsi="Arial Narrow"/>
          <w:bCs/>
          <w:sz w:val="26"/>
          <w:szCs w:val="26"/>
        </w:rPr>
      </w:pPr>
    </w:p>
    <w:p w14:paraId="6C362B16" w14:textId="33D62410" w:rsidR="00102AEF" w:rsidRPr="00102AEF" w:rsidRDefault="00102AEF" w:rsidP="00102AEF">
      <w:pPr>
        <w:jc w:val="both"/>
        <w:rPr>
          <w:rFonts w:ascii="Arial Narrow" w:hAnsi="Arial Narrow"/>
          <w:bCs/>
          <w:sz w:val="26"/>
          <w:szCs w:val="26"/>
        </w:rPr>
      </w:pPr>
      <w:r w:rsidRPr="00102AEF">
        <w:rPr>
          <w:rFonts w:ascii="Arial Narrow" w:hAnsi="Arial Narrow"/>
          <w:bCs/>
          <w:sz w:val="26"/>
          <w:szCs w:val="26"/>
        </w:rPr>
        <w:t xml:space="preserve">Tras la solicitud de los propietarios de la empresa promotora,  los técnicos del Servicio de Gestión del Proceso Urbanístico de la delegación de Urbanismo visitaron el inmueble y elaboraron un informe </w:t>
      </w:r>
      <w:r>
        <w:rPr>
          <w:rFonts w:ascii="Arial Narrow" w:hAnsi="Arial Narrow"/>
          <w:bCs/>
          <w:sz w:val="26"/>
          <w:szCs w:val="26"/>
        </w:rPr>
        <w:t>en el que destaca que  s</w:t>
      </w:r>
      <w:r w:rsidRPr="00102AEF">
        <w:rPr>
          <w:rFonts w:ascii="Arial Narrow" w:hAnsi="Arial Narrow"/>
          <w:bCs/>
          <w:sz w:val="26"/>
          <w:szCs w:val="26"/>
        </w:rPr>
        <w:t>e permiten sótanos</w:t>
      </w:r>
      <w:r>
        <w:rPr>
          <w:rFonts w:ascii="Arial Narrow" w:hAnsi="Arial Narrow"/>
          <w:bCs/>
          <w:sz w:val="26"/>
          <w:szCs w:val="26"/>
        </w:rPr>
        <w:t xml:space="preserve"> </w:t>
      </w:r>
      <w:r>
        <w:rPr>
          <w:rFonts w:ascii="Arial Narrow" w:hAnsi="Arial Narrow"/>
          <w:sz w:val="26"/>
          <w:szCs w:val="26"/>
        </w:rPr>
        <w:t>al no existir</w:t>
      </w:r>
      <w:r w:rsidRPr="00102AEF">
        <w:rPr>
          <w:rFonts w:ascii="Arial Narrow" w:hAnsi="Arial Narrow"/>
          <w:sz w:val="26"/>
          <w:szCs w:val="26"/>
        </w:rPr>
        <w:t xml:space="preserve"> elementos decorativos ni estructurales que revistan interés arquitectónico o histórico en el interior del edificio. </w:t>
      </w:r>
      <w:r>
        <w:rPr>
          <w:rFonts w:ascii="Arial Narrow" w:hAnsi="Arial Narrow"/>
          <w:bCs/>
          <w:sz w:val="26"/>
          <w:szCs w:val="26"/>
        </w:rPr>
        <w:t xml:space="preserve">Igualmente, </w:t>
      </w:r>
      <w:r>
        <w:rPr>
          <w:rFonts w:ascii="Arial Narrow" w:hAnsi="Arial Narrow"/>
          <w:sz w:val="26"/>
          <w:szCs w:val="26"/>
        </w:rPr>
        <w:t>s</w:t>
      </w:r>
      <w:r w:rsidRPr="00102AEF">
        <w:rPr>
          <w:rFonts w:ascii="Arial Narrow" w:hAnsi="Arial Narrow"/>
          <w:sz w:val="26"/>
          <w:szCs w:val="26"/>
        </w:rPr>
        <w:t xml:space="preserve">e permite la adecuación funcional imprescindible de los huecos de planta baja de fachada a calle </w:t>
      </w:r>
      <w:proofErr w:type="spellStart"/>
      <w:r w:rsidRPr="00102AEF">
        <w:rPr>
          <w:rFonts w:ascii="Arial Narrow" w:hAnsi="Arial Narrow"/>
          <w:sz w:val="26"/>
          <w:szCs w:val="26"/>
        </w:rPr>
        <w:t>Caracuel</w:t>
      </w:r>
      <w:proofErr w:type="spellEnd"/>
      <w:r w:rsidRPr="00102AEF">
        <w:rPr>
          <w:rFonts w:ascii="Arial Narrow" w:hAnsi="Arial Narrow"/>
          <w:sz w:val="26"/>
          <w:szCs w:val="26"/>
        </w:rPr>
        <w:t xml:space="preserve"> y de los huecos secundarios de la fachada a Plaza San Andrés y calle Rosario, sin afectar a la entrada principal.</w:t>
      </w:r>
    </w:p>
    <w:p w14:paraId="751FD430" w14:textId="77777777" w:rsidR="00102AEF" w:rsidRPr="00102AEF" w:rsidRDefault="00102AEF" w:rsidP="00102AEF">
      <w:pPr>
        <w:jc w:val="both"/>
        <w:rPr>
          <w:rFonts w:ascii="Arial Narrow" w:hAnsi="Arial Narrow"/>
          <w:sz w:val="26"/>
          <w:szCs w:val="26"/>
        </w:rPr>
      </w:pPr>
    </w:p>
    <w:p w14:paraId="126524C7" w14:textId="3AE4E8CC" w:rsidR="00102AEF" w:rsidRPr="00AA25D9" w:rsidRDefault="00AA25D9" w:rsidP="00102AEF">
      <w:pPr>
        <w:jc w:val="both"/>
        <w:rPr>
          <w:rFonts w:ascii="Arial Narrow" w:eastAsia="Tahoma" w:hAnsi="Arial Narrow"/>
          <w:sz w:val="26"/>
          <w:szCs w:val="26"/>
        </w:rPr>
      </w:pPr>
      <w:r>
        <w:rPr>
          <w:rFonts w:ascii="Arial Narrow" w:hAnsi="Arial Narrow"/>
          <w:sz w:val="26"/>
          <w:szCs w:val="26"/>
        </w:rPr>
        <w:t>Agustín Muño</w:t>
      </w:r>
      <w:r w:rsidR="007C2180">
        <w:rPr>
          <w:rFonts w:ascii="Arial Narrow" w:hAnsi="Arial Narrow"/>
          <w:sz w:val="26"/>
          <w:szCs w:val="26"/>
        </w:rPr>
        <w:t>z</w:t>
      </w:r>
      <w:r>
        <w:rPr>
          <w:rFonts w:ascii="Arial Narrow" w:hAnsi="Arial Narrow"/>
          <w:sz w:val="26"/>
          <w:szCs w:val="26"/>
        </w:rPr>
        <w:t xml:space="preserve"> ha explicado que se trata de "u</w:t>
      </w:r>
      <w:r w:rsidRPr="00AA25D9">
        <w:rPr>
          <w:rFonts w:ascii="Arial Narrow" w:hAnsi="Arial Narrow"/>
          <w:sz w:val="26"/>
          <w:szCs w:val="26"/>
        </w:rPr>
        <w:t>na alta protección de un inmueble emblemático de la ciudad que permitirá la construcción de sótano (clave para las grandes producciones que espera albergar) y una adaptación a la normativa vigente que garantice seguri</w:t>
      </w:r>
      <w:r w:rsidR="008D209E">
        <w:rPr>
          <w:rFonts w:ascii="Arial Narrow" w:hAnsi="Arial Narrow"/>
          <w:sz w:val="26"/>
          <w:szCs w:val="26"/>
        </w:rPr>
        <w:t>dad, comodidad y accesibilidad</w:t>
      </w:r>
      <w:bookmarkStart w:id="0" w:name="_GoBack"/>
      <w:bookmarkEnd w:id="0"/>
      <w:r>
        <w:rPr>
          <w:rFonts w:ascii="Arial Narrow" w:hAnsi="Arial Narrow"/>
          <w:sz w:val="26"/>
          <w:szCs w:val="26"/>
        </w:rPr>
        <w:t>"</w:t>
      </w:r>
      <w:r w:rsidRPr="00AA25D9">
        <w:rPr>
          <w:rFonts w:ascii="Arial Narrow" w:hAnsi="Arial Narrow"/>
          <w:sz w:val="26"/>
          <w:szCs w:val="26"/>
        </w:rPr>
        <w:t>.</w:t>
      </w:r>
    </w:p>
    <w:p w14:paraId="33716E58" w14:textId="77777777" w:rsidR="00AA25D9" w:rsidRDefault="00AA25D9" w:rsidP="00102AEF">
      <w:pPr>
        <w:jc w:val="both"/>
        <w:rPr>
          <w:rFonts w:ascii="Arial Narrow" w:eastAsia="Tahoma" w:hAnsi="Arial Narrow"/>
          <w:sz w:val="26"/>
          <w:szCs w:val="26"/>
        </w:rPr>
      </w:pPr>
    </w:p>
    <w:p w14:paraId="2EBCCA19" w14:textId="59F9A843" w:rsidR="00102AEF" w:rsidRPr="00102AEF" w:rsidRDefault="00102AEF" w:rsidP="00102AEF">
      <w:pPr>
        <w:jc w:val="both"/>
        <w:rPr>
          <w:rFonts w:ascii="Arial Narrow" w:hAnsi="Arial Narrow"/>
          <w:sz w:val="26"/>
          <w:szCs w:val="26"/>
        </w:rPr>
      </w:pPr>
      <w:r w:rsidRPr="00102AEF">
        <w:rPr>
          <w:rFonts w:ascii="Arial Narrow" w:eastAsia="Tahoma" w:hAnsi="Arial Narrow"/>
          <w:sz w:val="26"/>
          <w:szCs w:val="26"/>
        </w:rPr>
        <w:t>Hay que recordar que el antiguo cine Jerezano pasará a denominarse Teatro Jerezano, según avanzaron a la alcaldesa, María José García-Pelayo, los responsables de las empresas que lo adquirieron ‘</w:t>
      </w:r>
      <w:r w:rsidRPr="00102AEF">
        <w:rPr>
          <w:rFonts w:ascii="Arial Narrow" w:eastAsia="Tahoma" w:hAnsi="Arial Narrow" w:cs="Calibri"/>
          <w:sz w:val="26"/>
          <w:szCs w:val="26"/>
        </w:rPr>
        <w:t>Gran Rialto SL’ y ‘</w:t>
      </w:r>
      <w:proofErr w:type="spellStart"/>
      <w:r w:rsidRPr="00102AEF">
        <w:rPr>
          <w:rFonts w:ascii="Arial Narrow" w:eastAsia="Tahoma" w:hAnsi="Arial Narrow" w:cs="Calibri"/>
          <w:sz w:val="26"/>
          <w:szCs w:val="26"/>
        </w:rPr>
        <w:t>beon</w:t>
      </w:r>
      <w:proofErr w:type="spellEnd"/>
      <w:r w:rsidRPr="00102AEF">
        <w:rPr>
          <w:rFonts w:ascii="Arial Narrow" w:eastAsia="Tahoma" w:hAnsi="Arial Narrow" w:cs="Calibri"/>
          <w:sz w:val="26"/>
          <w:szCs w:val="26"/>
        </w:rPr>
        <w:t xml:space="preserve">. </w:t>
      </w:r>
      <w:proofErr w:type="spellStart"/>
      <w:r w:rsidRPr="00102AEF">
        <w:rPr>
          <w:rFonts w:ascii="Arial Narrow" w:eastAsia="Tahoma" w:hAnsi="Arial Narrow" w:cs="Calibri"/>
          <w:sz w:val="26"/>
          <w:szCs w:val="26"/>
        </w:rPr>
        <w:t>Worldwide</w:t>
      </w:r>
      <w:proofErr w:type="spellEnd"/>
      <w:r w:rsidRPr="00102AEF">
        <w:rPr>
          <w:rFonts w:ascii="Arial Narrow" w:eastAsia="Tahoma" w:hAnsi="Arial Narrow" w:cs="Calibri"/>
          <w:sz w:val="26"/>
          <w:szCs w:val="26"/>
        </w:rPr>
        <w:t xml:space="preserve">’, en un encuentro celebrado en enero. </w:t>
      </w:r>
      <w:r>
        <w:rPr>
          <w:rFonts w:ascii="Arial Narrow" w:hAnsi="Arial Narrow"/>
          <w:sz w:val="26"/>
          <w:szCs w:val="26"/>
        </w:rPr>
        <w:t xml:space="preserve"> </w:t>
      </w:r>
      <w:r w:rsidRPr="00102AEF">
        <w:rPr>
          <w:rFonts w:ascii="Arial Narrow" w:hAnsi="Arial Narrow" w:cs="Calibri"/>
          <w:sz w:val="26"/>
          <w:szCs w:val="26"/>
        </w:rPr>
        <w:t xml:space="preserve">El nuevo Teatro tendrá una capacidad de 1.000 butacas para atraer grandes producciones. </w:t>
      </w:r>
      <w:r w:rsidRPr="00102AEF">
        <w:rPr>
          <w:rFonts w:ascii="Arial Narrow" w:eastAsia="Tahoma" w:hAnsi="Arial Narrow" w:cs="Calibri"/>
          <w:sz w:val="26"/>
          <w:szCs w:val="26"/>
        </w:rPr>
        <w:t>Estará adaptado a la normativa vigente para garantizar la seguridad y comodidad de los espectadores y artistas.</w:t>
      </w:r>
    </w:p>
    <w:p w14:paraId="1BA1EAF7" w14:textId="77777777" w:rsidR="00102AEF" w:rsidRPr="00102AEF" w:rsidRDefault="00102AEF" w:rsidP="00102AEF">
      <w:pPr>
        <w:jc w:val="both"/>
        <w:rPr>
          <w:rFonts w:ascii="Arial Narrow" w:hAnsi="Arial Narrow" w:cs="Calibri"/>
          <w:sz w:val="26"/>
          <w:szCs w:val="26"/>
        </w:rPr>
      </w:pPr>
    </w:p>
    <w:p w14:paraId="44021E25" w14:textId="77777777" w:rsidR="00AA25D9" w:rsidRDefault="00AA25D9" w:rsidP="00102AEF">
      <w:pPr>
        <w:jc w:val="both"/>
        <w:rPr>
          <w:rFonts w:ascii="Arial Narrow" w:hAnsi="Arial Narrow" w:cs="Calibri"/>
          <w:b/>
          <w:sz w:val="26"/>
          <w:szCs w:val="26"/>
        </w:rPr>
      </w:pPr>
    </w:p>
    <w:p w14:paraId="59B8FB8A" w14:textId="1DDF3672" w:rsidR="00102AEF" w:rsidRPr="00102AEF" w:rsidRDefault="00102AEF" w:rsidP="00102AEF">
      <w:pPr>
        <w:jc w:val="both"/>
        <w:rPr>
          <w:rFonts w:ascii="Arial Narrow" w:hAnsi="Arial Narrow" w:cs="Calibri"/>
          <w:b/>
          <w:sz w:val="26"/>
          <w:szCs w:val="26"/>
        </w:rPr>
      </w:pPr>
      <w:r w:rsidRPr="00102AEF">
        <w:rPr>
          <w:rFonts w:ascii="Arial Narrow" w:hAnsi="Arial Narrow" w:cs="Calibri"/>
          <w:b/>
          <w:sz w:val="26"/>
          <w:szCs w:val="26"/>
        </w:rPr>
        <w:t>Nave en el Polígono de El Portal</w:t>
      </w:r>
    </w:p>
    <w:p w14:paraId="3179ED9C" w14:textId="77777777" w:rsidR="00102AEF" w:rsidRPr="00102AEF" w:rsidRDefault="00102AEF" w:rsidP="00102AEF">
      <w:pPr>
        <w:jc w:val="both"/>
        <w:rPr>
          <w:rFonts w:ascii="Arial Narrow" w:hAnsi="Arial Narrow" w:cs="Calibri"/>
          <w:i/>
          <w:sz w:val="26"/>
          <w:szCs w:val="26"/>
        </w:rPr>
      </w:pPr>
    </w:p>
    <w:p w14:paraId="6282F96D" w14:textId="354305EF" w:rsidR="00102AEF" w:rsidRDefault="00102AEF" w:rsidP="00102AEF">
      <w:pPr>
        <w:jc w:val="both"/>
        <w:rPr>
          <w:rFonts w:ascii="Arial Narrow" w:hAnsi="Arial Narrow"/>
          <w:sz w:val="26"/>
          <w:szCs w:val="26"/>
        </w:rPr>
      </w:pPr>
      <w:r w:rsidRPr="00102AEF">
        <w:rPr>
          <w:rFonts w:ascii="Arial Narrow" w:hAnsi="Arial Narrow" w:cs="Gadugi"/>
          <w:sz w:val="26"/>
          <w:szCs w:val="26"/>
        </w:rPr>
        <w:t>La Junta de Gobierno Local ha autorizado</w:t>
      </w:r>
      <w:r>
        <w:rPr>
          <w:rFonts w:ascii="Arial Narrow" w:hAnsi="Arial Narrow" w:cs="Gadugi"/>
          <w:sz w:val="26"/>
          <w:szCs w:val="26"/>
        </w:rPr>
        <w:t xml:space="preserve"> también </w:t>
      </w:r>
      <w:r w:rsidRPr="00102AEF">
        <w:rPr>
          <w:rFonts w:ascii="Arial Narrow" w:hAnsi="Arial Narrow" w:cs="Gadugi"/>
          <w:sz w:val="26"/>
          <w:szCs w:val="26"/>
        </w:rPr>
        <w:t xml:space="preserve"> la licencia de construcción de un almacén de materiales de construcción a la empresa Manuel Alba S.A</w:t>
      </w:r>
      <w:r>
        <w:rPr>
          <w:rFonts w:ascii="Arial Narrow" w:hAnsi="Arial Narrow" w:cs="Gadugi"/>
          <w:sz w:val="26"/>
          <w:szCs w:val="26"/>
        </w:rPr>
        <w:t xml:space="preserve">. en el Polígono de El Portal.  </w:t>
      </w:r>
      <w:r w:rsidRPr="00102AEF">
        <w:rPr>
          <w:rFonts w:ascii="Arial Narrow" w:hAnsi="Arial Narrow"/>
          <w:sz w:val="26"/>
          <w:szCs w:val="26"/>
        </w:rPr>
        <w:t>Se proyecta una nave con una superficie construida de 1.525,70 metros cuadrados, sobre una parcela de superficie de 38.825,97 metros cuadrados. La superficie construida actual de las edificaciones existentes es 2.324,07 metros cuadrados, de manera que con la nueva edificación la superficie construida total pasará a ser de 3.849,77 metros cuadrados. Tiene un Presupuesto de Ejecución Material de 432.749,56 euros, un  plazo de inicio de dos 2 meses y un  plazo de terminación de 4 meses.</w:t>
      </w:r>
    </w:p>
    <w:p w14:paraId="1ACA092C" w14:textId="77777777" w:rsidR="00ED3BA6" w:rsidRDefault="00ED3BA6" w:rsidP="00102AEF">
      <w:pPr>
        <w:jc w:val="both"/>
        <w:rPr>
          <w:rFonts w:ascii="Arial Narrow" w:hAnsi="Arial Narrow"/>
          <w:sz w:val="26"/>
          <w:szCs w:val="26"/>
        </w:rPr>
      </w:pPr>
    </w:p>
    <w:p w14:paraId="53CEA810" w14:textId="69464964" w:rsidR="00ED3BA6" w:rsidRDefault="00ED3BA6" w:rsidP="00102AEF">
      <w:pPr>
        <w:jc w:val="both"/>
        <w:rPr>
          <w:rFonts w:ascii="Arial Narrow" w:hAnsi="Arial Narrow"/>
          <w:sz w:val="26"/>
          <w:szCs w:val="26"/>
        </w:rPr>
      </w:pPr>
      <w:r>
        <w:rPr>
          <w:rFonts w:ascii="Arial Narrow" w:hAnsi="Arial Narrow"/>
          <w:sz w:val="26"/>
          <w:szCs w:val="26"/>
        </w:rPr>
        <w:t>(Se adjunta fotografía y enlace de audio:</w:t>
      </w:r>
    </w:p>
    <w:p w14:paraId="6747822E" w14:textId="77777777" w:rsidR="00102AEF" w:rsidRDefault="00102AEF" w:rsidP="00102AEF">
      <w:pPr>
        <w:jc w:val="both"/>
        <w:rPr>
          <w:rFonts w:ascii="Arial Narrow" w:hAnsi="Arial Narrow"/>
          <w:sz w:val="26"/>
          <w:szCs w:val="26"/>
        </w:rPr>
      </w:pPr>
    </w:p>
    <w:p w14:paraId="7D027AC3" w14:textId="77777777" w:rsidR="006A44A0" w:rsidRPr="00102AEF" w:rsidRDefault="006A44A0" w:rsidP="00102AEF">
      <w:pPr>
        <w:pStyle w:val="Textoindependiente"/>
        <w:widowControl w:val="0"/>
        <w:shd w:val="clear" w:color="auto" w:fill="FFFFFF"/>
        <w:tabs>
          <w:tab w:val="left" w:pos="729"/>
        </w:tabs>
        <w:spacing w:after="142" w:line="240" w:lineRule="auto"/>
        <w:jc w:val="both"/>
        <w:rPr>
          <w:rFonts w:ascii="Arial Narrow" w:hAnsi="Arial Narrow"/>
          <w:sz w:val="26"/>
          <w:szCs w:val="26"/>
        </w:rPr>
      </w:pPr>
    </w:p>
    <w:sectPr w:rsidR="006A44A0" w:rsidRPr="00102AEF">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0B86B" w14:textId="77777777" w:rsidR="001D024B" w:rsidRDefault="001D024B">
      <w:r>
        <w:separator/>
      </w:r>
    </w:p>
  </w:endnote>
  <w:endnote w:type="continuationSeparator" w:id="0">
    <w:p w14:paraId="15BB5DFC" w14:textId="77777777" w:rsidR="001D024B" w:rsidRDefault="001D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55FDA" w14:textId="77777777" w:rsidR="001D024B" w:rsidRDefault="001D024B">
      <w:r>
        <w:separator/>
      </w:r>
    </w:p>
  </w:footnote>
  <w:footnote w:type="continuationSeparator" w:id="0">
    <w:p w14:paraId="6F86B2AE" w14:textId="77777777" w:rsidR="001D024B" w:rsidRDefault="001D0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95C7E83"/>
    <w:multiLevelType w:val="hybridMultilevel"/>
    <w:tmpl w:val="89DC6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457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212D8"/>
    <w:rsid w:val="000662AB"/>
    <w:rsid w:val="000B2397"/>
    <w:rsid w:val="000F2C6E"/>
    <w:rsid w:val="00102AEF"/>
    <w:rsid w:val="0017549F"/>
    <w:rsid w:val="00184CE3"/>
    <w:rsid w:val="001D024B"/>
    <w:rsid w:val="00200590"/>
    <w:rsid w:val="00210239"/>
    <w:rsid w:val="00244D40"/>
    <w:rsid w:val="002929AE"/>
    <w:rsid w:val="002A1731"/>
    <w:rsid w:val="00315388"/>
    <w:rsid w:val="00373AB3"/>
    <w:rsid w:val="003F5D90"/>
    <w:rsid w:val="00427ACA"/>
    <w:rsid w:val="004870C1"/>
    <w:rsid w:val="004A6CD3"/>
    <w:rsid w:val="004C070E"/>
    <w:rsid w:val="004C5396"/>
    <w:rsid w:val="00511D25"/>
    <w:rsid w:val="005441C1"/>
    <w:rsid w:val="005B7D3C"/>
    <w:rsid w:val="005F6826"/>
    <w:rsid w:val="006631BE"/>
    <w:rsid w:val="006A13B6"/>
    <w:rsid w:val="006A44A0"/>
    <w:rsid w:val="006C00C7"/>
    <w:rsid w:val="007025C7"/>
    <w:rsid w:val="0070790E"/>
    <w:rsid w:val="007359C2"/>
    <w:rsid w:val="007470E1"/>
    <w:rsid w:val="00792CF8"/>
    <w:rsid w:val="007C2180"/>
    <w:rsid w:val="007F6ECD"/>
    <w:rsid w:val="0081073A"/>
    <w:rsid w:val="00881DD1"/>
    <w:rsid w:val="008A3C61"/>
    <w:rsid w:val="008C6BD7"/>
    <w:rsid w:val="008D209E"/>
    <w:rsid w:val="0093434C"/>
    <w:rsid w:val="00946DB0"/>
    <w:rsid w:val="00956F5A"/>
    <w:rsid w:val="009934D2"/>
    <w:rsid w:val="00A35E05"/>
    <w:rsid w:val="00A748EE"/>
    <w:rsid w:val="00AA25D9"/>
    <w:rsid w:val="00AF0F99"/>
    <w:rsid w:val="00BE0499"/>
    <w:rsid w:val="00CC2E3B"/>
    <w:rsid w:val="00CD022A"/>
    <w:rsid w:val="00D46F7D"/>
    <w:rsid w:val="00D471BB"/>
    <w:rsid w:val="00D609A7"/>
    <w:rsid w:val="00D772DD"/>
    <w:rsid w:val="00ED3BA6"/>
    <w:rsid w:val="00ED7E6F"/>
    <w:rsid w:val="00F8474F"/>
    <w:rsid w:val="00FD07E9"/>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qFormat/>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rsid w:val="00CC2E3B"/>
    <w:rPr>
      <w:rFonts w:ascii="Tahoma" w:hAnsi="Tahoma" w:cs="Tahoma"/>
      <w:kern w:val="2"/>
      <w:sz w:val="24"/>
      <w:lang w:eastAsia="zh-CN"/>
    </w:rPr>
  </w:style>
  <w:style w:type="paragraph" w:styleId="Prrafodelista">
    <w:name w:val="List Paragraph"/>
    <w:basedOn w:val="Normal"/>
    <w:qFormat/>
    <w:rsid w:val="00373AB3"/>
    <w:pPr>
      <w:suppressAutoHyphens w:val="0"/>
      <w:ind w:left="720"/>
    </w:pPr>
    <w:rPr>
      <w:rFonts w:ascii="Calibri" w:eastAsia="Calibri" w:hAnsi="Calibri" w:cs="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44593">
      <w:bodyDiv w:val="1"/>
      <w:marLeft w:val="0"/>
      <w:marRight w:val="0"/>
      <w:marTop w:val="0"/>
      <w:marBottom w:val="0"/>
      <w:divBdr>
        <w:top w:val="none" w:sz="0" w:space="0" w:color="auto"/>
        <w:left w:val="none" w:sz="0" w:space="0" w:color="auto"/>
        <w:bottom w:val="none" w:sz="0" w:space="0" w:color="auto"/>
        <w:right w:val="none" w:sz="0" w:space="0" w:color="auto"/>
      </w:divBdr>
    </w:div>
    <w:div w:id="1036007782">
      <w:bodyDiv w:val="1"/>
      <w:marLeft w:val="0"/>
      <w:marRight w:val="0"/>
      <w:marTop w:val="0"/>
      <w:marBottom w:val="0"/>
      <w:divBdr>
        <w:top w:val="none" w:sz="0" w:space="0" w:color="auto"/>
        <w:left w:val="none" w:sz="0" w:space="0" w:color="auto"/>
        <w:bottom w:val="none" w:sz="0" w:space="0" w:color="auto"/>
        <w:right w:val="none" w:sz="0" w:space="0" w:color="auto"/>
      </w:divBdr>
    </w:div>
    <w:div w:id="1208758882">
      <w:bodyDiv w:val="1"/>
      <w:marLeft w:val="0"/>
      <w:marRight w:val="0"/>
      <w:marTop w:val="0"/>
      <w:marBottom w:val="0"/>
      <w:divBdr>
        <w:top w:val="none" w:sz="0" w:space="0" w:color="auto"/>
        <w:left w:val="none" w:sz="0" w:space="0" w:color="auto"/>
        <w:bottom w:val="none" w:sz="0" w:space="0" w:color="auto"/>
        <w:right w:val="none" w:sz="0" w:space="0" w:color="auto"/>
      </w:divBdr>
    </w:div>
    <w:div w:id="189111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431</Words>
  <Characters>2372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14</cp:revision>
  <cp:lastPrinted>2023-10-11T07:08:00Z</cp:lastPrinted>
  <dcterms:created xsi:type="dcterms:W3CDTF">2024-07-14T11:05:00Z</dcterms:created>
  <dcterms:modified xsi:type="dcterms:W3CDTF">2024-07-15T11:09:00Z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