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eastAsia="Tahoma" w:cs="Arial"/>
          <w:sz w:val="26"/>
          <w:szCs w:val="26"/>
          <w:u w:val="single"/>
        </w:rPr>
      </w:pPr>
      <w:r>
        <w:rPr>
          <w:rFonts w:eastAsia="Tahoma" w:cs="Arial" w:ascii="Arial Narrow" w:hAnsi="Arial Narrow"/>
          <w:sz w:val="26"/>
          <w:szCs w:val="26"/>
          <w:u w:val="single"/>
        </w:rPr>
        <w:t>Junta de Gobierno Local</w:t>
      </w:r>
    </w:p>
    <w:p>
      <w:pPr>
        <w:pStyle w:val="Normal"/>
        <w:rPr>
          <w:rFonts w:ascii="Arial Narrow" w:hAnsi="Arial Narrow"/>
          <w:sz w:val="26"/>
          <w:szCs w:val="26"/>
        </w:rPr>
      </w:pPr>
      <w:r>
        <w:rPr>
          <w:rFonts w:ascii="Arial Narrow" w:hAnsi="Arial Narrow"/>
          <w:sz w:val="26"/>
          <w:szCs w:val="26"/>
        </w:rPr>
      </w:r>
    </w:p>
    <w:p>
      <w:pPr>
        <w:pStyle w:val="BodyText"/>
        <w:spacing w:lineRule="auto" w:line="240" w:before="0" w:after="0"/>
        <w:rPr>
          <w:rFonts w:ascii="Arial Narrow" w:hAnsi="Arial Narrow" w:cs="Gadugi"/>
          <w:b/>
          <w:bCs/>
          <w:color w:val="00000A"/>
          <w:sz w:val="40"/>
          <w:szCs w:val="40"/>
        </w:rPr>
      </w:pPr>
      <w:r>
        <w:rPr>
          <w:rFonts w:cs="Gadugi" w:ascii="Arial Narrow" w:hAnsi="Arial Narrow"/>
          <w:b/>
          <w:bCs/>
          <w:color w:val="00000A"/>
          <w:sz w:val="40"/>
          <w:szCs w:val="40"/>
        </w:rPr>
        <w:t xml:space="preserve">El centro histórico contará con 203 nuevas habitaciones de hotel tras autorizarse el cuarto establecimiento en lo que va de año </w:t>
      </w:r>
    </w:p>
    <w:p>
      <w:pPr>
        <w:pStyle w:val="BodyText"/>
        <w:spacing w:lineRule="auto" w:line="240" w:before="0" w:after="0"/>
        <w:rPr>
          <w:rFonts w:ascii="Arial Narrow" w:hAnsi="Arial Narrow" w:cs="Gadugi"/>
          <w:b/>
          <w:bCs/>
          <w:color w:val="00000A"/>
          <w:sz w:val="40"/>
          <w:szCs w:val="40"/>
        </w:rPr>
      </w:pPr>
      <w:r>
        <w:rPr>
          <w:rFonts w:cs="Gadugi" w:ascii="Arial Narrow" w:hAnsi="Arial Narrow"/>
          <w:b/>
          <w:bCs/>
          <w:color w:val="00000A"/>
          <w:sz w:val="40"/>
          <w:szCs w:val="40"/>
        </w:rPr>
      </w:r>
    </w:p>
    <w:p>
      <w:pPr>
        <w:pStyle w:val="BodyText"/>
        <w:spacing w:lineRule="auto" w:line="240" w:before="0" w:after="0"/>
        <w:rPr>
          <w:rFonts w:ascii="Arial Narrow" w:hAnsi="Arial Narrow" w:cs="Gadugi"/>
          <w:sz w:val="32"/>
          <w:szCs w:val="32"/>
        </w:rPr>
      </w:pPr>
      <w:r>
        <w:rPr>
          <w:rFonts w:cs="Gadugi" w:ascii="Arial Narrow" w:hAnsi="Arial Narrow"/>
          <w:color w:val="00000A"/>
          <w:sz w:val="32"/>
          <w:szCs w:val="32"/>
        </w:rPr>
        <w:t>El Ayuntamiento otorga licencia para 13 nuevas viviendas y adjudica las obras de adecuación de la Plaza Madrid, entre otros asuntos destacados de la sesión de hoy lunes</w:t>
      </w:r>
    </w:p>
    <w:p>
      <w:pPr>
        <w:pStyle w:val="Normal"/>
        <w:tabs>
          <w:tab w:val="clear" w:pos="720"/>
          <w:tab w:val="left" w:pos="5032" w:leader="none"/>
        </w:tabs>
        <w:ind w:left="476"/>
        <w:jc w:val="both"/>
        <w:rPr>
          <w:rFonts w:ascii="Arial Narrow" w:hAnsi="Arial Narrow" w:cs="Gadugi"/>
          <w:sz w:val="26"/>
          <w:szCs w:val="26"/>
        </w:rPr>
      </w:pPr>
      <w:r>
        <w:rPr>
          <w:rFonts w:cs="Gadugi" w:ascii="Arial Narrow" w:hAnsi="Arial Narrow"/>
          <w:sz w:val="26"/>
          <w:szCs w:val="26"/>
        </w:rPr>
      </w:r>
    </w:p>
    <w:p>
      <w:pPr>
        <w:pStyle w:val="Normal"/>
        <w:jc w:val="both"/>
        <w:rPr>
          <w:rFonts w:ascii="Arial Narrow" w:hAnsi="Arial Narrow" w:cs="Gadugi"/>
          <w:sz w:val="26"/>
          <w:szCs w:val="26"/>
        </w:rPr>
      </w:pPr>
      <w:r>
        <w:rPr>
          <w:rFonts w:cs="Gadugi" w:ascii="Arial Narrow" w:hAnsi="Arial Narrow"/>
          <w:sz w:val="26"/>
          <w:szCs w:val="26"/>
        </w:rPr>
      </w:r>
    </w:p>
    <w:p>
      <w:pPr>
        <w:pStyle w:val="Normal"/>
        <w:jc w:val="both"/>
        <w:rPr>
          <w:rFonts w:ascii="Arial Narrow" w:hAnsi="Arial Narrow"/>
          <w:sz w:val="26"/>
          <w:szCs w:val="26"/>
        </w:rPr>
      </w:pPr>
      <w:r>
        <w:rPr>
          <w:rFonts w:eastAsia="Tahoma" w:cs="Gadugi" w:ascii="Arial Narrow" w:hAnsi="Arial Narrow"/>
          <w:b/>
          <w:bCs/>
          <w:color w:val="000000"/>
          <w:sz w:val="26"/>
          <w:szCs w:val="26"/>
        </w:rPr>
        <w:t>27 de mayo de 2024.</w:t>
      </w:r>
      <w:r>
        <w:rPr>
          <w:rFonts w:eastAsia="Tahoma" w:cs="Gadugi" w:ascii="Arial Narrow" w:hAnsi="Arial Narrow"/>
          <w:color w:val="000000"/>
          <w:sz w:val="26"/>
          <w:szCs w:val="26"/>
        </w:rPr>
        <w:t xml:space="preserve"> El Ayuntamiento ha aprobado </w:t>
      </w:r>
      <w:r>
        <w:rPr>
          <w:rFonts w:cs="Gadugi" w:ascii="Arial Narrow" w:hAnsi="Arial Narrow"/>
          <w:sz w:val="26"/>
          <w:szCs w:val="26"/>
        </w:rPr>
        <w:t xml:space="preserve">la licencia de demolición y rehabilitación parcial de un edificio de la calle Bizcocheros 3 y calle Larga 46 y 48 que se va a destinar a un nuevo hotel de cuatro estrellas, con 67 habitaciones (46 dobles, 18 dobles-plus y 3 suites junior). </w:t>
      </w:r>
      <w:r>
        <w:rPr>
          <w:rFonts w:cs="Gadugi" w:ascii="Arial Narrow" w:hAnsi="Arial Narrow"/>
          <w:spacing w:val="-3"/>
          <w:sz w:val="26"/>
          <w:szCs w:val="26"/>
        </w:rPr>
        <w:t xml:space="preserve">Con éste, ya son cuatro los hoteles que se han autorizado en lo que va de año en el centro histórico, que contará así con 203 nuevas habitaciones, ampliando de forma considerable su oferta actual. </w:t>
      </w:r>
    </w:p>
    <w:p>
      <w:pPr>
        <w:pStyle w:val="Normal"/>
        <w:jc w:val="both"/>
        <w:rPr>
          <w:rFonts w:ascii="Arial Narrow" w:hAnsi="Arial Narrow" w:cs="Gadugi"/>
          <w:spacing w:val="-3"/>
          <w:sz w:val="26"/>
          <w:szCs w:val="26"/>
        </w:rPr>
      </w:pPr>
      <w:r>
        <w:rPr>
          <w:rFonts w:cs="Gadugi" w:ascii="Arial Narrow" w:hAnsi="Arial Narrow"/>
          <w:spacing w:val="-3"/>
          <w:sz w:val="26"/>
          <w:szCs w:val="26"/>
        </w:rPr>
      </w:r>
    </w:p>
    <w:p>
      <w:pPr>
        <w:pStyle w:val="Normal"/>
        <w:jc w:val="both"/>
        <w:rPr>
          <w:rFonts w:ascii="Arial Narrow" w:hAnsi="Arial Narrow"/>
          <w:sz w:val="26"/>
          <w:szCs w:val="26"/>
        </w:rPr>
      </w:pPr>
      <w:r>
        <w:rPr>
          <w:rFonts w:cs="Gadugi" w:ascii="Arial Narrow" w:hAnsi="Arial Narrow"/>
          <w:spacing w:val="-3"/>
          <w:sz w:val="26"/>
          <w:szCs w:val="26"/>
        </w:rPr>
        <w:t xml:space="preserve">Así lo ha anunciado el primer teniente de alcaldesa, Agustín Muñoz, en su resumen de asuntos destacados de la Junta de Gobierno Local, en la que también se ha dado luz verde a la construcción de 13 nuevas viviendas y se han adjudicado las obras de reforma integral de la Plaza Madrid, entre otros acuerdos. </w:t>
      </w:r>
    </w:p>
    <w:p>
      <w:pPr>
        <w:pStyle w:val="Normal"/>
        <w:jc w:val="both"/>
        <w:rPr>
          <w:rFonts w:ascii="Arial Narrow" w:hAnsi="Arial Narrow" w:cs="Gadugi"/>
          <w:spacing w:val="-3"/>
          <w:sz w:val="26"/>
          <w:szCs w:val="26"/>
        </w:rPr>
      </w:pPr>
      <w:r>
        <w:rPr>
          <w:rFonts w:cs="Gadugi" w:ascii="Arial Narrow" w:hAnsi="Arial Narrow"/>
          <w:spacing w:val="-3"/>
          <w:sz w:val="26"/>
          <w:szCs w:val="26"/>
        </w:rPr>
      </w:r>
    </w:p>
    <w:p>
      <w:pPr>
        <w:pStyle w:val="Normal"/>
        <w:jc w:val="both"/>
        <w:rPr>
          <w:rFonts w:ascii="Arial Narrow" w:hAnsi="Arial Narrow" w:cs="Gadugi"/>
          <w:spacing w:val="-3"/>
          <w:sz w:val="26"/>
          <w:szCs w:val="26"/>
        </w:rPr>
      </w:pPr>
      <w:r>
        <w:rPr>
          <w:rFonts w:cs="Gadugi" w:ascii="Arial Narrow" w:hAnsi="Arial Narrow"/>
          <w:spacing w:val="-3"/>
          <w:sz w:val="26"/>
          <w:szCs w:val="26"/>
        </w:rPr>
        <w:t xml:space="preserve">En relación al primer asunto, el teniente de alcaldesa ha valorado positivamente el tirón que tiene el centro histórico para la inversión destinada a promover el turismo en la ciudad, recordando que el pasado 29 de enero se dio licencia para la rehabilitación de dos edificios de La Caixa para ubicar nuevos hoteles de cuatro estrellas de 48 y 34 habitaciones, situados en las calles Lancería y Larga. El tercer hotel, con 54 habitaciones, será el resultado de la rehabilitación del Palacio de los Condes de Puerto Hermoso, cuya licencia se otorgó el pasado 15 de abril. </w:t>
      </w:r>
    </w:p>
    <w:p>
      <w:pPr>
        <w:pStyle w:val="Normal"/>
        <w:jc w:val="both"/>
        <w:rPr>
          <w:rFonts w:ascii="Arial Narrow" w:hAnsi="Arial Narrow" w:cs="Gadugi"/>
          <w:b/>
          <w:bCs/>
          <w:sz w:val="26"/>
          <w:szCs w:val="26"/>
        </w:rPr>
      </w:pPr>
      <w:r>
        <w:rPr>
          <w:rFonts w:cs="Gadugi" w:ascii="Arial Narrow" w:hAnsi="Arial Narrow"/>
          <w:b/>
          <w:bCs/>
          <w:sz w:val="26"/>
          <w:szCs w:val="26"/>
        </w:rPr>
      </w:r>
    </w:p>
    <w:p>
      <w:pPr>
        <w:pStyle w:val="BodyText"/>
        <w:spacing w:lineRule="auto" w:line="240"/>
        <w:jc w:val="both"/>
        <w:rPr>
          <w:rFonts w:ascii="Arial Narrow" w:hAnsi="Arial Narrow"/>
          <w:sz w:val="26"/>
          <w:szCs w:val="26"/>
        </w:rPr>
      </w:pPr>
      <w:r>
        <w:rPr>
          <w:rFonts w:cs="Gadugi" w:ascii="Arial Narrow" w:hAnsi="Arial Narrow"/>
          <w:b/>
          <w:bCs/>
          <w:sz w:val="26"/>
          <w:szCs w:val="26"/>
        </w:rPr>
        <w:t>Licencia para 13 nuevas viviendas en Jerez</w:t>
      </w:r>
    </w:p>
    <w:p>
      <w:pPr>
        <w:pStyle w:val="BodyText"/>
        <w:spacing w:lineRule="auto" w:line="240" w:before="0" w:after="0"/>
        <w:jc w:val="both"/>
        <w:rPr>
          <w:rFonts w:ascii="Arial Narrow" w:hAnsi="Arial Narrow"/>
          <w:sz w:val="26"/>
          <w:szCs w:val="26"/>
        </w:rPr>
      </w:pPr>
      <w:r>
        <w:rPr>
          <w:rFonts w:cs="Gadugi" w:ascii="Arial Narrow" w:hAnsi="Arial Narrow"/>
          <w:sz w:val="26"/>
          <w:szCs w:val="26"/>
        </w:rPr>
        <w:t xml:space="preserve">En este mismo apartado, Agustín Muñoz ha destacado varias licencias que van a posibilitar la ampliación del parque residencial de Jerez. Por un lado, se ha autorizado la construcción de un edificio de dos plantas de altura para 9 viviendas tipo dúplex, 20 garajes y 9 trasteros que irá ubicado en dos parcelas que se agruparán para tal fin, en las calles Zaragoza 35 y Circo 12, y que suman una superficie total de 655,87 metros cuadrados. Previamente se llevará a cabo la demolición de las edificaciones existentes. </w:t>
      </w:r>
    </w:p>
    <w:p>
      <w:pPr>
        <w:pStyle w:val="BodyText"/>
        <w:spacing w:lineRule="auto" w:line="240" w:before="0" w:after="0"/>
        <w:jc w:val="both"/>
        <w:rPr>
          <w:rFonts w:ascii="Arial Narrow" w:hAnsi="Arial Narrow"/>
          <w:sz w:val="26"/>
          <w:szCs w:val="26"/>
        </w:rPr>
      </w:pPr>
      <w:r>
        <w:rPr>
          <w:rFonts w:cs="Gadugi" w:ascii="Arial Narrow" w:hAnsi="Arial Narrow"/>
          <w:sz w:val="26"/>
          <w:szCs w:val="26"/>
        </w:rPr>
        <w:t xml:space="preserve">El nuevo edificio tendrá una superficie construida total de 1.137 metros cuadrados y contará con piscina comunitaria y un sótano destinado a garajes y trasteros. </w:t>
      </w:r>
    </w:p>
    <w:p>
      <w:pPr>
        <w:pStyle w:val="BodyText"/>
        <w:spacing w:lineRule="auto" w:line="240" w:before="0" w:after="0"/>
        <w:ind w:left="1080"/>
        <w:jc w:val="both"/>
        <w:rPr>
          <w:rFonts w:ascii="Arial Narrow" w:hAnsi="Arial Narrow" w:cs="Gadugi"/>
          <w:sz w:val="26"/>
          <w:szCs w:val="26"/>
        </w:rPr>
      </w:pPr>
      <w:r>
        <w:rPr>
          <w:rFonts w:cs="Gadugi" w:ascii="Arial Narrow" w:hAnsi="Arial Narrow"/>
          <w:sz w:val="26"/>
          <w:szCs w:val="26"/>
        </w:rPr>
      </w:r>
    </w:p>
    <w:p>
      <w:pPr>
        <w:pStyle w:val="BodyText"/>
        <w:spacing w:lineRule="auto" w:line="240" w:before="0" w:after="0"/>
        <w:jc w:val="both"/>
        <w:rPr>
          <w:rFonts w:ascii="Arial Narrow" w:hAnsi="Arial Narrow"/>
          <w:sz w:val="26"/>
          <w:szCs w:val="26"/>
        </w:rPr>
      </w:pPr>
      <w:r>
        <w:rPr>
          <w:rFonts w:cs="Gadugi" w:ascii="Arial Narrow" w:hAnsi="Arial Narrow"/>
          <w:sz w:val="26"/>
          <w:szCs w:val="26"/>
        </w:rPr>
        <w:t xml:space="preserve">Se ha otorgado también licencia de construcción de un edificio para ubicar tres unifamiliares en hilera en varias parcelas de una manzana de la zona de Pozoalbero Norte, en el Sector 32. Las 3 viviendas proyectadas tendrán dos plantas de altura y una superficie construida total de 420 metros cuadrados. Reseñar también una licencia otorgada para una unifamiliar en Montecastillo. </w:t>
      </w:r>
    </w:p>
    <w:p>
      <w:pPr>
        <w:pStyle w:val="Normal"/>
        <w:jc w:val="both"/>
        <w:rPr>
          <w:rFonts w:ascii="Arial Narrow" w:hAnsi="Arial Narrow" w:cs="Gadugi"/>
          <w:sz w:val="26"/>
          <w:szCs w:val="26"/>
        </w:rPr>
      </w:pPr>
      <w:r>
        <w:rPr>
          <w:rFonts w:cs="Gadugi" w:ascii="Arial Narrow" w:hAnsi="Arial Narrow"/>
          <w:sz w:val="26"/>
          <w:szCs w:val="26"/>
        </w:rPr>
      </w:r>
    </w:p>
    <w:p>
      <w:pPr>
        <w:pStyle w:val="Normal"/>
        <w:spacing w:before="0" w:after="0"/>
        <w:contextualSpacing/>
        <w:jc w:val="both"/>
        <w:rPr>
          <w:rFonts w:ascii="Arial Narrow" w:hAnsi="Arial Narrow"/>
          <w:sz w:val="26"/>
          <w:szCs w:val="26"/>
        </w:rPr>
      </w:pPr>
      <w:r>
        <w:rPr>
          <w:rFonts w:cs="Gadugi" w:ascii="Arial Narrow" w:hAnsi="Arial Narrow"/>
          <w:sz w:val="26"/>
          <w:szCs w:val="26"/>
          <w:lang w:eastAsia="es-ES"/>
        </w:rPr>
        <w:t xml:space="preserve">Se ha dado luz verde también a la </w:t>
      </w:r>
      <w:r>
        <w:rPr>
          <w:rFonts w:eastAsia="Batang" w:cs="Gadugi" w:ascii="Arial Narrow" w:hAnsi="Arial Narrow"/>
          <w:sz w:val="26"/>
          <w:szCs w:val="26"/>
          <w:lang w:eastAsia="es-ES"/>
        </w:rPr>
        <w:t>rehabilitación, adaptación y cambio de uso de un edificio con nivel II de protección arqueológica, y con grado de catalogación de Conservación Arquitectónica de la calle Larga 75 para 9 apartamentos turísticos.</w:t>
      </w:r>
      <w:r>
        <w:rPr>
          <w:rFonts w:cs="Gadugi" w:ascii="Arial Narrow" w:hAnsi="Arial Narrow"/>
          <w:sz w:val="26"/>
          <w:szCs w:val="26"/>
        </w:rPr>
        <w:t xml:space="preserve"> La finca se encuentra afectada por el trazado de la Muralla y cuenta con la autorización de la Delegación Territorial de Turismo, Cultura y Deporte de la Junta de Andalucía en Cádiz.</w:t>
      </w:r>
    </w:p>
    <w:p>
      <w:pPr>
        <w:pStyle w:val="Normal"/>
        <w:spacing w:before="0" w:after="0"/>
        <w:contextualSpacing/>
        <w:jc w:val="both"/>
        <w:rPr>
          <w:rFonts w:ascii="Arial Narrow" w:hAnsi="Arial Narrow"/>
          <w:sz w:val="26"/>
          <w:szCs w:val="26"/>
        </w:rPr>
      </w:pPr>
      <w:r>
        <w:rPr>
          <w:rFonts w:ascii="Arial Narrow" w:hAnsi="Arial Narrow"/>
          <w:sz w:val="26"/>
          <w:szCs w:val="26"/>
        </w:rPr>
      </w:r>
    </w:p>
    <w:p>
      <w:pPr>
        <w:pStyle w:val="Normal"/>
        <w:spacing w:before="0" w:after="0"/>
        <w:contextualSpacing/>
        <w:jc w:val="both"/>
        <w:rPr>
          <w:rFonts w:ascii="Arial Narrow" w:hAnsi="Arial Narrow"/>
          <w:sz w:val="26"/>
          <w:szCs w:val="26"/>
        </w:rPr>
      </w:pPr>
      <w:r>
        <w:rPr>
          <w:rFonts w:ascii="Arial Narrow" w:hAnsi="Arial Narrow"/>
          <w:b/>
          <w:sz w:val="26"/>
          <w:szCs w:val="26"/>
        </w:rPr>
        <w:t>Rehabilitación de la fachada de la parroquia San Rafael y San Gabriel</w:t>
      </w:r>
    </w:p>
    <w:p>
      <w:pPr>
        <w:pStyle w:val="Normal"/>
        <w:spacing w:before="0" w:after="0"/>
        <w:contextualSpacing/>
        <w:jc w:val="both"/>
        <w:rPr>
          <w:rFonts w:ascii="Arial Narrow" w:hAnsi="Arial Narrow"/>
          <w:sz w:val="26"/>
          <w:szCs w:val="26"/>
        </w:rPr>
      </w:pPr>
      <w:r>
        <w:rPr>
          <w:rFonts w:ascii="Arial Narrow" w:hAnsi="Arial Narrow"/>
          <w:sz w:val="26"/>
          <w:szCs w:val="26"/>
        </w:rPr>
      </w:r>
    </w:p>
    <w:p>
      <w:pPr>
        <w:pStyle w:val="BodyText"/>
        <w:spacing w:lineRule="auto" w:line="240"/>
        <w:jc w:val="both"/>
        <w:rPr>
          <w:rFonts w:ascii="Arial Narrow" w:hAnsi="Arial Narrow"/>
          <w:sz w:val="26"/>
          <w:szCs w:val="26"/>
        </w:rPr>
      </w:pPr>
      <w:r>
        <w:rPr>
          <w:rFonts w:ascii="Arial Narrow" w:hAnsi="Arial Narrow"/>
          <w:sz w:val="26"/>
          <w:szCs w:val="26"/>
        </w:rPr>
        <w:t>Igualmente, se han autorizado obras de rehabilitación de la fachada principal de la Parroquia de San Rafael y San Gabriel, las cuales consisten en una serie de actuaciones dirigidas a ampliar las dimensiones del hueco de la puerta principal del edificio, modificándolo tanto en anchura como en altura, para posibilitar la salida y recogida del paso de la Hermandad de la Salud de San Rafael.</w:t>
      </w:r>
    </w:p>
    <w:p>
      <w:pPr>
        <w:pStyle w:val="BodyText"/>
        <w:spacing w:lineRule="auto" w:line="240"/>
        <w:jc w:val="both"/>
        <w:rPr>
          <w:rFonts w:ascii="Arial Narrow" w:hAnsi="Arial Narrow"/>
          <w:sz w:val="26"/>
          <w:szCs w:val="26"/>
        </w:rPr>
      </w:pPr>
      <w:r>
        <w:rPr>
          <w:rFonts w:ascii="Arial Narrow" w:hAnsi="Arial Narrow"/>
          <w:sz w:val="26"/>
          <w:szCs w:val="26"/>
        </w:rPr>
        <w:t xml:space="preserve">Así pues, con esta licencia, “que da respuesta a una reclamación histórica, se podrán llevar a cabo las actuaciones necesarias para modificar el hueco de la puerta existente, que mide 3 x 3,30 metros, y que pasará a tener unas dimensiones de 3,37 x 5,92 metros”, en palabras del teniente de alcaldesa. </w:t>
      </w:r>
    </w:p>
    <w:p>
      <w:pPr>
        <w:pStyle w:val="BodyText"/>
        <w:spacing w:lineRule="auto" w:line="240"/>
        <w:jc w:val="both"/>
        <w:rPr>
          <w:rFonts w:ascii="Arial Narrow" w:hAnsi="Arial Narrow"/>
          <w:sz w:val="26"/>
          <w:szCs w:val="26"/>
        </w:rPr>
      </w:pPr>
      <w:r>
        <w:rPr>
          <w:rFonts w:ascii="Arial Narrow" w:hAnsi="Arial Narrow"/>
          <w:b/>
          <w:sz w:val="26"/>
          <w:szCs w:val="26"/>
        </w:rPr>
        <w:t>Reforma de dos cascos bodegueros para nuevos usos</w:t>
      </w:r>
    </w:p>
    <w:p>
      <w:pPr>
        <w:pStyle w:val="BodyText"/>
        <w:spacing w:lineRule="auto" w:line="240"/>
        <w:jc w:val="both"/>
        <w:rPr>
          <w:rFonts w:ascii="Arial Narrow" w:hAnsi="Arial Narrow"/>
          <w:sz w:val="26"/>
          <w:szCs w:val="26"/>
        </w:rPr>
      </w:pPr>
      <w:r>
        <w:rPr>
          <w:rFonts w:ascii="Arial Narrow" w:hAnsi="Arial Narrow"/>
          <w:sz w:val="26"/>
          <w:szCs w:val="26"/>
        </w:rPr>
        <w:t xml:space="preserve">También se han dado dos licencias, solicitadas por una misma empresa, para la rehabilitación parcial de dos cascos bodegueros que serán destinados a uso principal de almacenamiento y envejecimiento de vinos. </w:t>
      </w:r>
    </w:p>
    <w:p>
      <w:pPr>
        <w:pStyle w:val="BodyText"/>
        <w:spacing w:lineRule="auto" w:line="240"/>
        <w:jc w:val="both"/>
        <w:rPr>
          <w:rFonts w:ascii="Arial Narrow" w:hAnsi="Arial Narrow"/>
          <w:sz w:val="26"/>
          <w:szCs w:val="26"/>
        </w:rPr>
      </w:pPr>
      <w:r>
        <w:rPr>
          <w:rFonts w:ascii="Arial Narrow" w:hAnsi="Arial Narrow"/>
          <w:sz w:val="26"/>
          <w:szCs w:val="26"/>
        </w:rPr>
        <w:t>Uno de ellos está situado en la calle Muro 28 y está compuesto por dos cascos de mediano tamaño, separados por un patio central abierto a Calle Muro, desde el que se accede, con fachadas hacia las calles Muro y Pozo Dulce de Antonio Gallardo; la superficie construida inicial es de 1.250,42 metros cuadrados, pasando tras la intervención solicitada a 1.062,17 metros cuadrados.</w:t>
      </w:r>
    </w:p>
    <w:p>
      <w:pPr>
        <w:pStyle w:val="BodyText"/>
        <w:spacing w:lineRule="auto" w:line="240"/>
        <w:jc w:val="both"/>
        <w:rPr>
          <w:rFonts w:ascii="Arial Narrow" w:hAnsi="Arial Narrow"/>
          <w:sz w:val="26"/>
          <w:szCs w:val="26"/>
        </w:rPr>
      </w:pPr>
      <w:r>
        <w:rPr>
          <w:rFonts w:cs="Gadugi" w:ascii="Arial Narrow" w:hAnsi="Arial Narrow"/>
          <w:sz w:val="26"/>
          <w:szCs w:val="26"/>
        </w:rPr>
        <w:t xml:space="preserve">La otra propuesta se sitúa en la finca de la Plaza de la Merced 1; en este caso,  y intervención consiste en la rehabilitación de este complejo bodeguero, que tiene una superficie de 574,00 metros cuadrados. Actualmente se destina a almacén de golosinas, “por lo que recuperará su uso bodeguero originario con esta intervención”, ha destacado Agustín Muñoz. </w:t>
      </w:r>
    </w:p>
    <w:p>
      <w:pPr>
        <w:pStyle w:val="Normal"/>
        <w:spacing w:before="0" w:after="0"/>
        <w:contextualSpacing/>
        <w:jc w:val="both"/>
        <w:rPr>
          <w:rFonts w:ascii="Arial Narrow" w:hAnsi="Arial Narrow" w:cs="Gadugi"/>
          <w:sz w:val="26"/>
          <w:szCs w:val="26"/>
        </w:rPr>
      </w:pPr>
      <w:r>
        <w:rPr>
          <w:rFonts w:cs="Gadugi" w:ascii="Arial Narrow" w:hAnsi="Arial Narrow"/>
          <w:sz w:val="26"/>
          <w:szCs w:val="26"/>
        </w:rPr>
      </w:r>
    </w:p>
    <w:p>
      <w:pPr>
        <w:pStyle w:val="BodyText"/>
        <w:spacing w:lineRule="auto" w:line="240"/>
        <w:jc w:val="both"/>
        <w:rPr>
          <w:rFonts w:ascii="Arial Narrow" w:hAnsi="Arial Narrow"/>
          <w:sz w:val="26"/>
          <w:szCs w:val="26"/>
        </w:rPr>
      </w:pPr>
      <w:r>
        <w:rPr>
          <w:rFonts w:cs="Gadugi" w:ascii="Arial Narrow" w:hAnsi="Arial Narrow"/>
          <w:b/>
          <w:bCs/>
          <w:sz w:val="26"/>
          <w:szCs w:val="26"/>
        </w:rPr>
        <w:t>Adecuación de una parcela de la calle Mozart para aparcamientos</w:t>
      </w:r>
    </w:p>
    <w:p>
      <w:pPr>
        <w:pStyle w:val="BodyText"/>
        <w:spacing w:lineRule="auto" w:line="240"/>
        <w:jc w:val="both"/>
        <w:rPr>
          <w:rFonts w:ascii="Arial Narrow" w:hAnsi="Arial Narrow"/>
          <w:sz w:val="26"/>
          <w:szCs w:val="26"/>
        </w:rPr>
      </w:pPr>
      <w:r>
        <w:rPr>
          <w:rFonts w:cs="Gadugi" w:ascii="Arial Narrow" w:hAnsi="Arial Narrow"/>
          <w:sz w:val="26"/>
          <w:szCs w:val="26"/>
        </w:rPr>
        <w:t xml:space="preserve">Otro proyecto municipal aprobado ha sido el acondicionamiento, adecuación y pavimentación de acerados y de la zona de rodadura de una parcela de la calle Mozart, y que tiene un importe de 71.909,24 euros. </w:t>
      </w:r>
    </w:p>
    <w:p>
      <w:pPr>
        <w:pStyle w:val="BodyText"/>
        <w:spacing w:lineRule="auto" w:line="240"/>
        <w:jc w:val="both"/>
        <w:rPr>
          <w:rFonts w:ascii="Arial Narrow" w:hAnsi="Arial Narrow"/>
          <w:sz w:val="26"/>
          <w:szCs w:val="26"/>
        </w:rPr>
      </w:pPr>
      <w:r>
        <w:rPr>
          <w:rFonts w:cs="Gadugi" w:ascii="Arial Narrow" w:hAnsi="Arial Narrow"/>
          <w:sz w:val="26"/>
          <w:szCs w:val="26"/>
        </w:rPr>
        <w:t>La parcela en cuestión tiene una superficie de 700 metros cuadrados y actualmente se encuentra en uso, si bien, se mejorará la pavimentación de toda su superficie para habilitar un espacio abierto destinado a zona aparcamiento de vehículos, con 18 plazas, una de ellas reservada para Personas de Movilidad Reducida (PMR). Se incluye, además, la renovación del cableado del alumbrado, así como la sustitución de los puntos de luz defectuosos.</w:t>
      </w:r>
    </w:p>
    <w:p>
      <w:pPr>
        <w:pStyle w:val="Normal"/>
        <w:jc w:val="both"/>
        <w:rPr>
          <w:rFonts w:ascii="Arial Narrow" w:hAnsi="Arial Narrow" w:cs="Gadugi"/>
          <w:sz w:val="26"/>
          <w:szCs w:val="26"/>
        </w:rPr>
      </w:pPr>
      <w:r>
        <w:rPr>
          <w:rFonts w:cs="Gadugi" w:ascii="Arial Narrow" w:hAnsi="Arial Narrow"/>
          <w:sz w:val="26"/>
          <w:szCs w:val="26"/>
        </w:rPr>
      </w:r>
    </w:p>
    <w:p>
      <w:pPr>
        <w:pStyle w:val="BodyText"/>
        <w:spacing w:lineRule="auto" w:line="240" w:before="0" w:after="0"/>
        <w:jc w:val="both"/>
        <w:rPr>
          <w:rFonts w:ascii="Arial Narrow" w:hAnsi="Arial Narrow"/>
          <w:sz w:val="26"/>
          <w:szCs w:val="26"/>
        </w:rPr>
      </w:pPr>
      <w:r>
        <w:rPr>
          <w:rFonts w:cs="Gadugi" w:ascii="Arial Narrow" w:hAnsi="Arial Narrow"/>
          <w:b/>
          <w:bCs/>
          <w:sz w:val="26"/>
          <w:szCs w:val="26"/>
        </w:rPr>
        <w:t>Adjudicación de las obras de la Plaza Madrid</w:t>
      </w:r>
    </w:p>
    <w:p>
      <w:pPr>
        <w:pStyle w:val="BodyText"/>
        <w:spacing w:lineRule="auto" w:line="240" w:before="0" w:after="0"/>
        <w:jc w:val="both"/>
        <w:rPr>
          <w:rFonts w:ascii="Arial Narrow" w:hAnsi="Arial Narrow" w:cs="Gadugi"/>
          <w:sz w:val="26"/>
          <w:szCs w:val="26"/>
        </w:rPr>
      </w:pPr>
      <w:r>
        <w:rPr>
          <w:rFonts w:cs="Gadugi" w:ascii="Arial Narrow" w:hAnsi="Arial Narrow"/>
          <w:sz w:val="26"/>
          <w:szCs w:val="26"/>
        </w:rPr>
      </w:r>
    </w:p>
    <w:p>
      <w:pPr>
        <w:pStyle w:val="BodyText"/>
        <w:spacing w:lineRule="auto" w:line="240" w:before="0" w:after="0"/>
        <w:jc w:val="both"/>
        <w:rPr>
          <w:rFonts w:ascii="Arial Narrow" w:hAnsi="Arial Narrow"/>
          <w:sz w:val="26"/>
          <w:szCs w:val="26"/>
        </w:rPr>
      </w:pPr>
      <w:r>
        <w:rPr>
          <w:rFonts w:cs="Gadugi" w:ascii="Arial Narrow" w:hAnsi="Arial Narrow"/>
          <w:sz w:val="26"/>
          <w:szCs w:val="26"/>
        </w:rPr>
        <w:t xml:space="preserve">En el apartado de contratación, Agustín Muñoz ha hecho referencia a una obra “de la que hemos venido hablando en estos meses, la reforma integral de la Plaza Madrid, que ha sido adjudicada a la empresa Infraestructuras Urbanas y Medioambientales, S.L., por importe de 330.540,37 euros y un plazo de ejecución de cuatro meses. </w:t>
      </w:r>
    </w:p>
    <w:p>
      <w:pPr>
        <w:pStyle w:val="BodyText"/>
        <w:spacing w:lineRule="auto" w:line="240" w:before="0" w:after="0"/>
        <w:jc w:val="both"/>
        <w:rPr>
          <w:rFonts w:ascii="Arial Narrow" w:hAnsi="Arial Narrow" w:cs="Gadugi"/>
          <w:sz w:val="26"/>
          <w:szCs w:val="26"/>
        </w:rPr>
      </w:pPr>
      <w:r>
        <w:rPr>
          <w:rFonts w:cs="Gadugi" w:ascii="Arial Narrow" w:hAnsi="Arial Narrow"/>
          <w:sz w:val="26"/>
          <w:szCs w:val="26"/>
        </w:rPr>
      </w:r>
    </w:p>
    <w:p>
      <w:pPr>
        <w:pStyle w:val="BodyText"/>
        <w:spacing w:lineRule="auto" w:line="240" w:before="0" w:after="0"/>
        <w:jc w:val="both"/>
        <w:rPr>
          <w:rFonts w:ascii="Arial Narrow" w:hAnsi="Arial Narrow"/>
          <w:sz w:val="26"/>
          <w:szCs w:val="26"/>
        </w:rPr>
      </w:pPr>
      <w:r>
        <w:rPr>
          <w:rFonts w:cs="Gadugi" w:ascii="Arial Narrow" w:hAnsi="Arial Narrow"/>
          <w:sz w:val="26"/>
          <w:szCs w:val="26"/>
        </w:rPr>
        <w:t xml:space="preserve">Con este proyecto, tal y como ha recordado, “vamos a subsanar las deficiencias que presenta este céntrico espacio, y lo hemos hecho de acuerdo con las sugerencias y necesidades de los vecinos, con quienes visitamos este emplazamiento hace unos meses”. </w:t>
      </w:r>
    </w:p>
    <w:p>
      <w:pPr>
        <w:pStyle w:val="Normal"/>
        <w:jc w:val="both"/>
        <w:rPr>
          <w:rFonts w:ascii="Arial Narrow" w:hAnsi="Arial Narrow" w:cs="Gadugi"/>
          <w:sz w:val="26"/>
          <w:szCs w:val="26"/>
        </w:rPr>
      </w:pPr>
      <w:r>
        <w:rPr>
          <w:rFonts w:cs="Gadugi" w:ascii="Arial Narrow" w:hAnsi="Arial Narrow"/>
          <w:sz w:val="26"/>
          <w:szCs w:val="26"/>
        </w:rPr>
      </w:r>
    </w:p>
    <w:p>
      <w:pPr>
        <w:pStyle w:val="Normal"/>
        <w:jc w:val="both"/>
        <w:rPr>
          <w:rFonts w:ascii="Arial Narrow" w:hAnsi="Arial Narrow"/>
          <w:sz w:val="26"/>
          <w:szCs w:val="26"/>
        </w:rPr>
      </w:pPr>
      <w:r>
        <w:rPr>
          <w:rFonts w:cs="Gadugi" w:ascii="Arial Narrow" w:hAnsi="Arial Narrow"/>
          <w:sz w:val="26"/>
          <w:szCs w:val="26"/>
        </w:rPr>
        <w:t>Recordando brevemente esta intervención, cabe señalar que se actuará sobre una superficie aproximada de 9.000 metros cuadrados incluyendo, entre otras obras, el reasfaltado y la ampliación de zonas de aparcamiento; la pavimentación de los caminos y sendas peatonales; la instalación de un nuevo parque infantil con pavimento amortiguador; la renovación  del mobiliario urbano; la instalación de un parque canino con cerramiento perimetral; o la ejecución de mejoras en la red de saneamiento existente</w:t>
      </w:r>
      <w:r>
        <w:rPr>
          <w:rFonts w:eastAsia="Tahoma" w:cs="Gadugi" w:ascii="Arial Narrow" w:hAnsi="Arial Narrow"/>
          <w:sz w:val="26"/>
          <w:szCs w:val="26"/>
        </w:rPr>
        <w:t xml:space="preserve">. </w:t>
      </w:r>
    </w:p>
    <w:p>
      <w:pPr>
        <w:pStyle w:val="Normal"/>
        <w:jc w:val="both"/>
        <w:rPr>
          <w:rFonts w:ascii="Arial Narrow" w:hAnsi="Arial Narrow" w:cs="Gadugi"/>
          <w:sz w:val="26"/>
          <w:szCs w:val="26"/>
        </w:rPr>
      </w:pPr>
      <w:r>
        <w:rPr>
          <w:rFonts w:cs="Gadugi" w:ascii="Arial Narrow" w:hAnsi="Arial Narrow"/>
          <w:sz w:val="26"/>
          <w:szCs w:val="26"/>
        </w:rPr>
      </w:r>
    </w:p>
    <w:p>
      <w:pPr>
        <w:pStyle w:val="BodyText"/>
        <w:spacing w:lineRule="auto" w:line="240" w:before="0" w:after="0"/>
        <w:jc w:val="both"/>
        <w:rPr>
          <w:rFonts w:ascii="Arial Narrow" w:hAnsi="Arial Narrow"/>
          <w:sz w:val="26"/>
          <w:szCs w:val="26"/>
        </w:rPr>
      </w:pPr>
      <w:r>
        <w:rPr>
          <w:rFonts w:cs="Gadugi" w:ascii="Arial Narrow" w:hAnsi="Arial Narrow"/>
          <w:sz w:val="26"/>
          <w:szCs w:val="26"/>
        </w:rPr>
        <w:t>Por otro lado, se ha adjudicado uno de los tres lotes en los que se licitaron las Escuelas de Verano -concretamente el lote 1 correspondiente a las Escuelas Abiertas de Verano Urbanas -, a la empresa Senda Animación Sociocultural por importe de 85.209,10 euros sin IVA.</w:t>
      </w:r>
    </w:p>
    <w:p>
      <w:pPr>
        <w:pStyle w:val="BodyText"/>
        <w:spacing w:lineRule="auto" w:line="240" w:before="0" w:after="0"/>
        <w:jc w:val="both"/>
        <w:rPr>
          <w:rFonts w:ascii="Arial Narrow" w:hAnsi="Arial Narrow"/>
          <w:sz w:val="26"/>
          <w:szCs w:val="26"/>
        </w:rPr>
      </w:pPr>
      <w:r>
        <w:rPr>
          <w:rFonts w:ascii="Arial Narrow" w:hAnsi="Arial Narrow"/>
          <w:sz w:val="26"/>
          <w:szCs w:val="26"/>
        </w:rPr>
      </w:r>
    </w:p>
    <w:p>
      <w:pPr>
        <w:pStyle w:val="BodyText"/>
        <w:spacing w:lineRule="auto" w:line="240"/>
        <w:jc w:val="both"/>
        <w:rPr>
          <w:rFonts w:ascii="Arial Narrow" w:hAnsi="Arial Narrow" w:cs="Gadugi"/>
          <w:sz w:val="26"/>
          <w:szCs w:val="26"/>
        </w:rPr>
      </w:pPr>
      <w:r>
        <w:rPr>
          <w:rFonts w:cs="Gadugi" w:ascii="Arial Narrow" w:hAnsi="Arial Narrow"/>
          <w:sz w:val="26"/>
          <w:szCs w:val="26"/>
        </w:rPr>
      </w:r>
    </w:p>
    <w:p>
      <w:pPr>
        <w:pStyle w:val="BodyText"/>
        <w:spacing w:lineRule="auto" w:line="240" w:before="0" w:after="0"/>
        <w:jc w:val="both"/>
        <w:rPr>
          <w:rFonts w:ascii="Arial Narrow" w:hAnsi="Arial Narrow" w:cs="Gadugi"/>
          <w:sz w:val="26"/>
          <w:szCs w:val="26"/>
        </w:rPr>
      </w:pPr>
      <w:r>
        <w:rPr>
          <w:rFonts w:cs="Gadugi" w:ascii="Arial Narrow" w:hAnsi="Arial Narrow"/>
          <w:sz w:val="26"/>
          <w:szCs w:val="26"/>
        </w:rPr>
      </w:r>
    </w:p>
    <w:p>
      <w:pPr>
        <w:pStyle w:val="BodyText"/>
        <w:spacing w:lineRule="auto" w:line="240" w:before="0" w:after="0"/>
        <w:jc w:val="both"/>
        <w:rPr>
          <w:rFonts w:ascii="Arial Narrow" w:hAnsi="Arial Narrow" w:cs="Gadugi"/>
          <w:sz w:val="26"/>
          <w:szCs w:val="26"/>
        </w:rPr>
      </w:pPr>
      <w:r>
        <w:rPr>
          <w:rFonts w:cs="Gadugi" w:ascii="Arial Narrow" w:hAnsi="Arial Narrow"/>
          <w:sz w:val="26"/>
          <w:szCs w:val="26"/>
        </w:rPr>
      </w:r>
    </w:p>
    <w:p>
      <w:pPr>
        <w:pStyle w:val="BodyText"/>
        <w:spacing w:lineRule="auto" w:line="240" w:before="0" w:after="0"/>
        <w:jc w:val="both"/>
        <w:rPr>
          <w:rFonts w:ascii="Arial Narrow" w:hAnsi="Arial Narrow" w:cs="Gadugi"/>
          <w:sz w:val="26"/>
          <w:szCs w:val="26"/>
        </w:rPr>
      </w:pPr>
      <w:r>
        <w:rPr>
          <w:rFonts w:cs="Gadugi" w:ascii="Arial Narrow" w:hAnsi="Arial Narrow"/>
          <w:sz w:val="26"/>
          <w:szCs w:val="26"/>
        </w:rPr>
      </w:r>
    </w:p>
    <w:p>
      <w:pPr>
        <w:pStyle w:val="BodyText"/>
        <w:spacing w:lineRule="auto" w:line="240" w:before="0" w:after="0"/>
        <w:jc w:val="both"/>
        <w:rPr>
          <w:rFonts w:ascii="Arial Narrow" w:hAnsi="Arial Narrow" w:cs="Gadugi"/>
          <w:sz w:val="26"/>
          <w:szCs w:val="26"/>
        </w:rPr>
      </w:pPr>
      <w:r>
        <w:rPr>
          <w:rFonts w:cs="Gadugi" w:ascii="Arial Narrow" w:hAnsi="Arial Narrow"/>
          <w:sz w:val="26"/>
          <w:szCs w:val="26"/>
        </w:rPr>
      </w:r>
    </w:p>
    <w:p>
      <w:pPr>
        <w:pStyle w:val="BodyText"/>
        <w:spacing w:lineRule="auto" w:line="240" w:before="0" w:after="0"/>
        <w:jc w:val="both"/>
        <w:rPr>
          <w:rFonts w:ascii="Arial Narrow" w:hAnsi="Arial Narrow"/>
          <w:sz w:val="26"/>
          <w:szCs w:val="26"/>
        </w:rPr>
      </w:pPr>
      <w:r>
        <w:rPr>
          <w:rFonts w:ascii="Arial Narrow" w:hAnsi="Arial Narrow"/>
          <w:sz w:val="26"/>
          <w:szCs w:val="26"/>
        </w:rPr>
      </w:r>
    </w:p>
    <w:p>
      <w:pPr>
        <w:pStyle w:val="BodyText"/>
        <w:spacing w:lineRule="auto" w:line="240" w:before="0" w:after="0"/>
        <w:jc w:val="both"/>
        <w:rPr>
          <w:rFonts w:ascii="Arial Narrow" w:hAnsi="Arial Narrow"/>
          <w:sz w:val="26"/>
          <w:szCs w:val="26"/>
        </w:rPr>
      </w:pPr>
      <w:r>
        <w:rPr>
          <w:rFonts w:cs="Gadugi" w:ascii="Arial Narrow" w:hAnsi="Arial Narrow"/>
          <w:b/>
          <w:bCs/>
          <w:sz w:val="26"/>
          <w:szCs w:val="26"/>
        </w:rPr>
        <w:t>Nuevos quioscos para la ONCE</w:t>
      </w:r>
    </w:p>
    <w:p>
      <w:pPr>
        <w:pStyle w:val="Normal"/>
        <w:jc w:val="both"/>
        <w:rPr>
          <w:rFonts w:ascii="Arial Narrow" w:hAnsi="Arial Narrow" w:cs="Gadugi"/>
          <w:sz w:val="26"/>
          <w:szCs w:val="26"/>
        </w:rPr>
      </w:pPr>
      <w:r>
        <w:rPr>
          <w:rFonts w:cs="Gadugi" w:ascii="Arial Narrow" w:hAnsi="Arial Narrow"/>
          <w:sz w:val="26"/>
          <w:szCs w:val="26"/>
        </w:rPr>
      </w:r>
    </w:p>
    <w:p>
      <w:pPr>
        <w:pStyle w:val="Normal"/>
        <w:jc w:val="both"/>
        <w:rPr>
          <w:rFonts w:ascii="Arial Narrow" w:hAnsi="Arial Narrow"/>
          <w:sz w:val="26"/>
          <w:szCs w:val="26"/>
        </w:rPr>
      </w:pPr>
      <w:r>
        <w:rPr>
          <w:rFonts w:cs="Gadugi" w:ascii="Arial Narrow" w:hAnsi="Arial Narrow"/>
          <w:sz w:val="26"/>
          <w:szCs w:val="26"/>
        </w:rPr>
        <w:t>En otro orden de cosas, la Junta de Gobierno Local ha aprobado la adjudicación directa y con carácter gratuito a favor de ONCE de las concesiones administrativas en los emplazamientos de avenida de La Soleá 20, calle Porvera 56, avenida San Juan Bosco 27, Plaza los Naranjos 1 y Paseo Las Delicias 29, para la instalación de nuevos quioscos de venta de cupón y otros productos de juego, durante el plazo de 25 años.</w:t>
      </w:r>
    </w:p>
    <w:p>
      <w:pPr>
        <w:pStyle w:val="Normal"/>
        <w:jc w:val="both"/>
        <w:rPr>
          <w:rFonts w:ascii="Arial Narrow" w:hAnsi="Arial Narrow" w:cs="Gadugi"/>
          <w:sz w:val="26"/>
          <w:szCs w:val="26"/>
        </w:rPr>
      </w:pPr>
      <w:r>
        <w:rPr>
          <w:rFonts w:cs="Gadugi" w:ascii="Arial Narrow" w:hAnsi="Arial Narrow"/>
          <w:sz w:val="26"/>
          <w:szCs w:val="26"/>
        </w:rPr>
      </w:r>
    </w:p>
    <w:p>
      <w:pPr>
        <w:pStyle w:val="Normal"/>
        <w:jc w:val="both"/>
        <w:rPr>
          <w:rFonts w:ascii="Arial Narrow" w:hAnsi="Arial Narrow"/>
          <w:sz w:val="26"/>
          <w:szCs w:val="26"/>
        </w:rPr>
      </w:pPr>
      <w:r>
        <w:rPr>
          <w:rFonts w:cs="Gadugi" w:ascii="Arial Narrow" w:hAnsi="Arial Narrow"/>
          <w:sz w:val="26"/>
          <w:szCs w:val="26"/>
        </w:rPr>
        <w:t>Con este acuerdo “damos respuesta a la ONCE que hace escasas fechas nos solicitaba por escrito el correspondiente título para la utilización de estas ubicaciones, al objeto de sustituir los actuales quioscos, que se han ido quedando obsoletos, por nuevos modelos más cómodos y seguros para los vendedores. La mayoría de estos quioscos fueron instalados entre 1988 y 1989 (excepto Porvera, que es de 2008), y tienen unas dimensiones de 1,20 x 1,20 metros.</w:t>
      </w:r>
    </w:p>
    <w:p>
      <w:pPr>
        <w:pStyle w:val="Normal"/>
        <w:jc w:val="both"/>
        <w:rPr>
          <w:rFonts w:ascii="Arial Narrow" w:hAnsi="Arial Narrow" w:cs="Gadugi"/>
          <w:sz w:val="26"/>
          <w:szCs w:val="26"/>
        </w:rPr>
      </w:pPr>
      <w:r>
        <w:rPr>
          <w:rFonts w:cs="Gadugi" w:ascii="Arial Narrow" w:hAnsi="Arial Narrow"/>
          <w:sz w:val="26"/>
          <w:szCs w:val="26"/>
        </w:rPr>
      </w:r>
    </w:p>
    <w:p>
      <w:pPr>
        <w:pStyle w:val="Normal"/>
        <w:jc w:val="both"/>
        <w:rPr>
          <w:rFonts w:ascii="Arial Narrow" w:hAnsi="Arial Narrow"/>
          <w:sz w:val="26"/>
          <w:szCs w:val="26"/>
        </w:rPr>
      </w:pPr>
      <w:r>
        <w:rPr>
          <w:rFonts w:cs="Gadugi" w:ascii="Arial Narrow" w:hAnsi="Arial Narrow"/>
          <w:sz w:val="26"/>
          <w:szCs w:val="26"/>
        </w:rPr>
        <w:t xml:space="preserve">Los nuevos modelos medirán 150x135 cm y contarán con puertas de acceso adaptadas; rampas inclinadas de acceso a su interior; asientos más cómodos; o reposapiés regulable en altura y abatible, entre otras mejoras. </w:t>
      </w:r>
    </w:p>
    <w:p>
      <w:pPr>
        <w:pStyle w:val="Normal"/>
        <w:jc w:val="both"/>
        <w:rPr>
          <w:rFonts w:ascii="Arial Narrow" w:hAnsi="Arial Narrow"/>
          <w:sz w:val="26"/>
          <w:szCs w:val="26"/>
        </w:rPr>
      </w:pPr>
      <w:r>
        <w:rPr>
          <w:rFonts w:ascii="Arial Narrow" w:hAnsi="Arial Narrow"/>
          <w:sz w:val="26"/>
          <w:szCs w:val="26"/>
        </w:rPr>
      </w:r>
    </w:p>
    <w:p>
      <w:pPr>
        <w:pStyle w:val="Normal"/>
        <w:jc w:val="both"/>
        <w:rPr/>
      </w:pPr>
      <w:r>
        <w:rPr>
          <w:rFonts w:cs="Gadugi" w:ascii="Arial Narrow" w:hAnsi="Arial Narrow"/>
          <w:b/>
          <w:bCs/>
          <w:color w:val="000000"/>
          <w:spacing w:val="-3"/>
          <w:sz w:val="26"/>
          <w:szCs w:val="26"/>
        </w:rPr>
        <w:t>Convenio de colaboración con la AETC</w:t>
      </w:r>
    </w:p>
    <w:p>
      <w:pPr>
        <w:pStyle w:val="Normal"/>
        <w:jc w:val="both"/>
        <w:rPr>
          <w:rFonts w:ascii="Arial Narrow" w:hAnsi="Arial Narrow" w:cs="Gadugi"/>
          <w:sz w:val="26"/>
          <w:szCs w:val="26"/>
        </w:rPr>
      </w:pPr>
      <w:r>
        <w:rPr>
          <w:rFonts w:cs="Gadugi" w:ascii="Arial Narrow" w:hAnsi="Arial Narrow"/>
          <w:sz w:val="26"/>
          <w:szCs w:val="26"/>
        </w:rPr>
      </w:r>
    </w:p>
    <w:p>
      <w:pPr>
        <w:pStyle w:val="Normal"/>
        <w:jc w:val="both"/>
        <w:rPr>
          <w:rFonts w:ascii="Arial Narrow" w:hAnsi="Arial Narrow" w:cs="Gadugi"/>
          <w:color w:val="000000"/>
          <w:spacing w:val="-3"/>
          <w:sz w:val="26"/>
          <w:szCs w:val="26"/>
        </w:rPr>
      </w:pPr>
      <w:r>
        <w:rPr>
          <w:rFonts w:cs="Gadugi" w:ascii="Arial Narrow" w:hAnsi="Arial Narrow"/>
          <w:color w:val="000000"/>
          <w:spacing w:val="-3"/>
          <w:sz w:val="26"/>
          <w:szCs w:val="26"/>
        </w:rPr>
        <w:t xml:space="preserve">Por otro lado, cabe reseñar la aprobación de un convenio de colaboración con la Asociación de Empresas Turísticas de Cádiz (AETC) para la generación de sinergias en materia de fomento de la actividad económica en la ciudad, que se concretan en acciones de apoyo al sector turístico provincial. </w:t>
      </w:r>
    </w:p>
    <w:p>
      <w:pPr>
        <w:pStyle w:val="Normal"/>
        <w:jc w:val="both"/>
        <w:rPr>
          <w:rFonts w:ascii="Arial Narrow" w:hAnsi="Arial Narrow" w:cs="Gadugi"/>
          <w:color w:val="000000"/>
          <w:spacing w:val="-3"/>
          <w:sz w:val="26"/>
          <w:szCs w:val="26"/>
        </w:rPr>
      </w:pPr>
      <w:r>
        <w:rPr>
          <w:rFonts w:cs="Gadugi" w:ascii="Arial Narrow" w:hAnsi="Arial Narrow"/>
          <w:color w:val="000000"/>
          <w:spacing w:val="-3"/>
          <w:sz w:val="26"/>
          <w:szCs w:val="26"/>
        </w:rPr>
      </w:r>
    </w:p>
    <w:p>
      <w:pPr>
        <w:pStyle w:val="Normal"/>
        <w:jc w:val="both"/>
        <w:rPr/>
      </w:pPr>
      <w:r>
        <w:rPr>
          <w:rFonts w:cs="Gadugi" w:ascii="Arial Narrow" w:hAnsi="Arial Narrow"/>
          <w:sz w:val="26"/>
          <w:szCs w:val="26"/>
        </w:rPr>
        <w:t xml:space="preserve">Esta colaboración se va a definir en la organización del evento “Networking Nómadas Digitales, nuevas oportunidades de negocio”, que tendrá lugar el día 5 de junio los Claustros de Santo Domingo, y que tiene como finalidad concienciar, orientar y desarrollar, por medio de talleres, charlas y networking, sobre la importancia y el potencial impacto económico que puede generar en las ciudades la comunidad de nómadas digitales. </w:t>
      </w:r>
    </w:p>
    <w:p>
      <w:pPr>
        <w:pStyle w:val="Normal"/>
        <w:jc w:val="both"/>
        <w:rPr>
          <w:rFonts w:ascii="Arial Narrow" w:hAnsi="Arial Narrow" w:cs="Gadugi"/>
          <w:sz w:val="26"/>
          <w:szCs w:val="26"/>
        </w:rPr>
      </w:pPr>
      <w:r>
        <w:rPr>
          <w:rFonts w:cs="Gadugi" w:ascii="Arial Narrow" w:hAnsi="Arial Narrow"/>
          <w:sz w:val="26"/>
          <w:szCs w:val="26"/>
        </w:rPr>
      </w:r>
    </w:p>
    <w:p>
      <w:pPr>
        <w:pStyle w:val="Normal"/>
        <w:jc w:val="both"/>
        <w:rPr/>
      </w:pPr>
      <w:r>
        <w:rPr>
          <w:rFonts w:cs="Gadugi" w:ascii="Arial Narrow" w:hAnsi="Arial Narrow"/>
          <w:sz w:val="26"/>
          <w:szCs w:val="26"/>
        </w:rPr>
        <w:t>Se adjunta fotografía y audio de la rueda de prensa</w:t>
      </w:r>
    </w:p>
    <w:p>
      <w:pPr>
        <w:pStyle w:val="Normal"/>
        <w:jc w:val="both"/>
        <w:rPr>
          <w:rFonts w:ascii="Arial Narrow" w:hAnsi="Arial Narrow" w:cs="Gadugi"/>
          <w:sz w:val="26"/>
          <w:szCs w:val="26"/>
        </w:rPr>
      </w:pPr>
      <w:r>
        <w:rPr>
          <w:rFonts w:cs="Gadugi" w:ascii="Arial Narrow" w:hAnsi="Arial Narrow"/>
          <w:sz w:val="26"/>
          <w:szCs w:val="26"/>
        </w:rPr>
      </w:r>
    </w:p>
    <w:p>
      <w:pPr>
        <w:pStyle w:val="Textopreformateado"/>
        <w:spacing w:lineRule="auto" w:line="240"/>
        <w:jc w:val="both"/>
        <w:rPr>
          <w:rFonts w:ascii="Arial Narrow" w:hAnsi="Arial Narrow" w:cs="Gadugi"/>
          <w:sz w:val="26"/>
          <w:szCs w:val="26"/>
        </w:rPr>
      </w:pPr>
      <w:hyperlink r:id="rId2">
        <w:r>
          <w:rPr>
            <w:rStyle w:val="Hyperlink"/>
            <w:rFonts w:cs="Gadugi" w:ascii="Arial Narrow" w:hAnsi="Arial Narrow"/>
            <w:sz w:val="26"/>
            <w:szCs w:val="26"/>
          </w:rPr>
          <w:t>https://soundcloud.com/user-162770691/real-academia-de-san-dionisio/s-jkPndem1zEp</w:t>
        </w:r>
      </w:hyperlink>
    </w:p>
    <w:p>
      <w:pPr>
        <w:pStyle w:val="BodyText"/>
        <w:spacing w:lineRule="auto" w:line="240"/>
        <w:jc w:val="both"/>
        <w:rPr>
          <w:rFonts w:ascii="Arial Narrow" w:hAnsi="Arial Narrow" w:cs="Gadugi"/>
          <w:sz w:val="26"/>
          <w:szCs w:val="26"/>
        </w:rPr>
      </w:pPr>
      <w:r>
        <w:rPr>
          <w:rFonts w:cs="Gadugi" w:ascii="Arial Narrow" w:hAnsi="Arial Narrow"/>
          <w:sz w:val="26"/>
          <w:szCs w:val="26"/>
        </w:rPr>
      </w:r>
    </w:p>
    <w:p>
      <w:pPr>
        <w:pStyle w:val="BodyText"/>
        <w:spacing w:lineRule="auto" w:line="240" w:before="0" w:after="0"/>
        <w:jc w:val="both"/>
        <w:rPr>
          <w:rFonts w:ascii="Arial Narrow" w:hAnsi="Arial Narrow"/>
          <w:sz w:val="26"/>
          <w:szCs w:val="26"/>
        </w:rPr>
      </w:pPr>
      <w:r>
        <w:rPr>
          <w:rFonts w:ascii="Arial Narrow" w:hAnsi="Arial Narrow"/>
          <w:sz w:val="26"/>
          <w:szCs w:val="26"/>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5">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5">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0"/>
  <w:displayBackgroundShape/>
  <w:embedSystemFonts/>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Nfasis1" w:customStyle="1">
    <w:name w:val="Énfasis1"/>
    <w:qFormat/>
    <w:rPr>
      <w:i/>
      <w:iCs/>
    </w:rPr>
  </w:style>
  <w:style w:type="character" w:styleId="Ttulo1Car" w:customStyle="1">
    <w:name w:val="Título 1 Car"/>
    <w:qFormat/>
    <w:rPr>
      <w:rFonts w:ascii="Calibri" w:hAnsi="Calibri" w:cs="Calibri"/>
      <w:b/>
      <w:color w:val="000000"/>
      <w:sz w:val="28"/>
      <w:szCs w:val="32"/>
    </w:rPr>
  </w:style>
  <w:style w:type="character" w:styleId="Ttulo2Car" w:customStyle="1">
    <w:name w:val="Título 2 Car"/>
    <w:qFormat/>
    <w:rPr>
      <w:rFonts w:ascii="Calibri" w:hAnsi="Calibri" w:cs="Calibri"/>
      <w:b/>
      <w:i/>
      <w:color w:val="000000"/>
      <w:sz w:val="20"/>
      <w:szCs w:val="32"/>
    </w:rPr>
  </w:style>
  <w:style w:type="character" w:styleId="BookTitle">
    <w:name w:val="Book Title"/>
    <w:qFormat/>
    <w:rPr>
      <w:rFonts w:ascii="Times New Roman" w:hAnsi="Times New Roman" w:eastAsia="Times New Roman" w:cs="Times New Roman"/>
      <w:bCs/>
      <w:iCs/>
      <w:color w:val="000000"/>
      <w:spacing w:val="5"/>
      <w:sz w:val="28"/>
      <w:szCs w:val="24"/>
    </w:rPr>
  </w:style>
  <w:style w:type="character" w:styleId="SubttuloCar" w:customStyle="1">
    <w:name w:val="Subtítulo Car"/>
    <w:qFormat/>
    <w:rPr>
      <w:rFonts w:ascii="Times New Roman" w:hAnsi="Times New Roman" w:cs="Times New Roman"/>
      <w:i/>
      <w:color w:val="5A5A5A"/>
      <w:spacing w:val="15"/>
      <w:sz w:val="24"/>
      <w:szCs w:val="24"/>
    </w:rPr>
  </w:style>
  <w:style w:type="character" w:styleId="TextonotaalfinalCar" w:customStyle="1">
    <w:name w:val="Texto nota al final Car"/>
    <w:qFormat/>
    <w:rPr>
      <w:rFonts w:ascii="Times New Roman" w:hAnsi="Times New Roman" w:eastAsia="Times New Roman" w:cs="Times New Roman"/>
      <w:color w:val="000000"/>
      <w:sz w:val="20"/>
      <w:szCs w:val="20"/>
    </w:rPr>
  </w:style>
  <w:style w:type="character" w:styleId="SubtleEmphasis">
    <w:name w:val="Subtle Emphasis"/>
    <w:qFormat/>
    <w:rPr>
      <w:rFonts w:ascii="Times New Roman" w:hAnsi="Times New Roman" w:eastAsia="Times New Roman" w:cs="Times New Roman"/>
      <w:i/>
      <w:iCs/>
      <w:color w:val="000000"/>
      <w:sz w:val="24"/>
      <w:szCs w:val="24"/>
    </w:rPr>
  </w:style>
  <w:style w:type="character" w:styleId="PuestoCar" w:customStyle="1">
    <w:name w:val="Puesto Car"/>
    <w:qFormat/>
    <w:rPr>
      <w:rFonts w:ascii="Calibri" w:hAnsi="Calibri" w:cs="0"/>
      <w:color w:val="000000"/>
      <w:spacing w:val="-10"/>
      <w:sz w:val="56"/>
      <w:szCs w:val="56"/>
    </w:rPr>
  </w:style>
  <w:style w:type="character" w:styleId="TextonotapieCar" w:customStyle="1">
    <w:name w:val="Texto nota pie Car"/>
    <w:qFormat/>
    <w:rPr>
      <w:rFonts w:ascii="Times New Roman" w:hAnsi="Times New Roman" w:eastAsia="Times New Roman" w:cs="Times New Roman"/>
      <w:color w:val="000000"/>
      <w:sz w:val="20"/>
      <w:szCs w:val="20"/>
    </w:rPr>
  </w:style>
  <w:style w:type="character" w:styleId="Textoindependiente2Car" w:customStyle="1">
    <w:name w:val="Texto independiente 2 Car"/>
    <w:qFormat/>
    <w:rPr>
      <w:rFonts w:ascii="Times New Roman" w:hAnsi="Times New Roman" w:eastAsia="Times New Roman" w:cs="Times New Roman"/>
      <w:color w:val="000000"/>
      <w:sz w:val="24"/>
      <w:szCs w:val="24"/>
    </w:rPr>
  </w:style>
  <w:style w:type="character" w:styleId="TextoindependienteCar" w:customStyle="1">
    <w:name w:val="Texto independiente Car"/>
    <w:basedOn w:val="DefaultParagraphFont"/>
    <w:qFormat/>
    <w:rPr>
      <w:rFonts w:ascii="Tahoma" w:hAnsi="Tahoma" w:cs="Tahoma"/>
      <w:kern w:val="2"/>
      <w:sz w:val="24"/>
      <w:lang w:eastAsia="zh-CN"/>
    </w:rPr>
  </w:style>
  <w:style w:type="character" w:styleId="Hipervnculovisitado1" w:customStyle="1">
    <w:name w:val="Hipervínculo visitado1"/>
    <w:qFormat/>
    <w:rPr>
      <w:color w:val="800080"/>
      <w:u w:val="single"/>
    </w:rPr>
  </w:style>
  <w:style w:type="character" w:styleId="Hipervnculo1" w:customStyle="1">
    <w:name w:val="Hipervínculo1"/>
    <w:qFormat/>
    <w:rPr>
      <w:color w:val="0563C1"/>
      <w:u w:val="single"/>
    </w:rPr>
  </w:style>
  <w:style w:type="character" w:styleId="Bolos" w:customStyle="1">
    <w:name w:val="Bolos"/>
    <w:qFormat/>
    <w:rPr>
      <w:rFonts w:ascii="OpenSymbol;Arial Unicode MS" w:hAnsi="OpenSymbol;Arial Unicode MS" w:eastAsia="OpenSymbol;Arial Unicode MS" w:cs="OpenSymbol;Arial Unicode MS"/>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Caption111" w:customStyle="1">
    <w:name w:val="caption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ListParagraph">
    <w:name w:val="List Paragraph"/>
    <w:basedOn w:val="Normal"/>
    <w:qFormat/>
    <w:pPr>
      <w:suppressAutoHyphens w:val="false"/>
      <w:spacing w:lineRule="auto" w:line="252" w:before="0" w:after="160"/>
      <w:ind w:left="720"/>
      <w:contextualSpacing/>
    </w:pPr>
    <w:rPr>
      <w:rFonts w:ascii="Calibri" w:hAnsi="Calibri" w:eastAsia="Calibri" w:cs="font2011"/>
      <w:sz w:val="22"/>
      <w:szCs w:val="22"/>
      <w:lang w:bidi="hi-IN"/>
    </w:rPr>
  </w:style>
  <w:style w:type="paragraph" w:styleId="ListBullet2">
    <w:name w:val="List Bullet 2"/>
    <w:basedOn w:val="Normal"/>
    <w:pPr>
      <w:spacing w:before="0" w:after="0"/>
      <w:contextualSpacing/>
    </w:pPr>
    <w:rPr/>
  </w:style>
  <w:style w:type="paragraph" w:styleId="ListBullet3">
    <w:name w:val="List Bullet 3"/>
    <w:basedOn w:val="Normal"/>
    <w:pPr>
      <w:spacing w:before="0" w:after="0"/>
      <w:contextualSpacing/>
    </w:pPr>
    <w:rPr/>
  </w:style>
  <w:style w:type="paragraph" w:styleId="Fecha" w:customStyle="1">
    <w:name w:val="fecha"/>
    <w:basedOn w:val="Normal"/>
    <w:qFormat/>
    <w:pPr>
      <w:jc w:val="right"/>
    </w:pPr>
    <w:rPr/>
  </w:style>
  <w:style w:type="paragraph" w:styleId="Normal0" w:customStyle="1">
    <w:name w:val="Normal 0"/>
    <w:basedOn w:val="Normal"/>
    <w:qFormat/>
    <w:pPr>
      <w:spacing w:lineRule="exact" w:line="240"/>
      <w:jc w:val="center"/>
    </w:pPr>
    <w:rPr/>
  </w:style>
  <w:style w:type="paragraph" w:styleId="ListBullet">
    <w:name w:val="List Bullet"/>
    <w:basedOn w:val="Normal"/>
    <w:pPr>
      <w:ind w:hanging="357" w:left="357"/>
    </w:pPr>
    <w:rPr/>
  </w:style>
  <w:style w:type="paragraph" w:styleId="Ttuloyobjetosltgliederung1" w:customStyle="1">
    <w:name w:val="ttuloyobjetosltgliederung1"/>
    <w:basedOn w:val="Normal"/>
    <w:qFormat/>
    <w:pPr>
      <w:spacing w:before="280" w:after="280"/>
    </w:pPr>
    <w:rPr>
      <w:rFonts w:ascii="Times New Roman" w:hAnsi="Times New Roman" w:cs="Times New Roman"/>
      <w:kern w:val="0"/>
      <w:lang w:eastAsia="es-ES_tradnl"/>
    </w:rPr>
  </w:style>
  <w:style w:type="paragraph" w:styleId="BalloonText">
    <w:name w:val="Balloon Text"/>
    <w:basedOn w:val="Normal"/>
    <w:qFormat/>
    <w:pPr/>
    <w:rPr>
      <w:sz w:val="16"/>
      <w:szCs w:val="16"/>
    </w:rPr>
  </w:style>
  <w:style w:type="paragraph" w:styleId="NoSpacing">
    <w:name w:val="No Spacing"/>
    <w:basedOn w:val="Normal"/>
    <w:qFormat/>
    <w:pPr/>
    <w:rPr/>
  </w:style>
  <w:style w:type="numbering" w:styleId="NoList" w:default="1">
    <w:name w:val="No List"/>
    <w:uiPriority w:val="99"/>
    <w:semiHidden/>
    <w:unhideWhenUsed/>
    <w:qFormat/>
  </w:style>
  <w:style w:type="numbering" w:styleId="WW8Num3" w:customStyle="1">
    <w:name w:val="WW8Num3"/>
    <w:qFormat/>
  </w:style>
  <w:style w:type="numbering" w:styleId="WW8Num2" w:customStyle="1">
    <w:name w:val="WW8Num2"/>
    <w:qFormat/>
  </w:style>
  <w:style w:type="numbering" w:styleId="WW8Num1" w:customStyle="1">
    <w:name w:val="WW8Num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real-academia-de-san-dionisio/s-jkPndem1zEp"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TotalTime>
  <Application>LibreOffice/7.6.5.2$Windows_X86_64 LibreOffice_project/38d5f62f85355c192ef5f1dd47c5c0c0c6d6598b</Application>
  <AppVersion>15.0000</AppVersion>
  <Pages>3</Pages>
  <Words>1486</Words>
  <Characters>7597</Characters>
  <CharactersWithSpaces>9067</CharactersWithSpaces>
  <Paragraphs>35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2024-05-27T10:39:00Z</dcterms:created>
  <dc:creator>ADELIFL</dc:creator>
  <dc:description/>
  <dc:language>es-ES</dc:language>
  <cp:lastModifiedBy/>
  <cp:lastPrinted>2024-05-27T11:01:00Z</cp:lastPrinted>
  <dcterms:modified xsi:type="dcterms:W3CDTF">2024-05-27T13:19:41Z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