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t>Junta de Gobierno Local</w:t>
      </w:r>
    </w:p>
    <w:p>
      <w:pPr>
        <w:pStyle w:val="Cuerpodetexto"/>
        <w:suppressAutoHyphens w:val="true"/>
        <w:spacing w:lineRule="auto" w:line="240" w:before="280" w:after="280"/>
        <w:rPr/>
      </w:pPr>
      <w:r>
        <w:rPr>
          <w:rStyle w:val="Nfasis1"/>
          <w:rFonts w:cs="Arial" w:ascii="Arial Narrow" w:hAnsi="Arial Narrow"/>
          <w:b/>
          <w:bCs/>
          <w:i w:val="false"/>
          <w:iCs w:val="false"/>
          <w:sz w:val="40"/>
          <w:szCs w:val="40"/>
        </w:rPr>
        <w:t>La alcaldesa anuncia que Jerez contará con un Centro de Divulgación y Aprendizaje de la Cultura Taurina</w:t>
      </w:r>
    </w:p>
    <w:p>
      <w:pPr>
        <w:pStyle w:val="Normal"/>
        <w:widowControl w:val="false"/>
        <w:suppressAutoHyphens w:val="true"/>
        <w:spacing w:lineRule="auto" w:line="240"/>
        <w:jc w:val="left"/>
        <w:rPr>
          <w:rFonts w:ascii="Arial Narrow" w:hAnsi="Arial Narrow"/>
          <w:sz w:val="32"/>
          <w:szCs w:val="32"/>
        </w:rPr>
      </w:pPr>
      <w:r>
        <w:rPr>
          <w:rFonts w:cs="Arial" w:ascii="Arial Narrow" w:hAnsi="Arial Narrow"/>
          <w:sz w:val="32"/>
          <w:szCs w:val="32"/>
          <w:lang w:val="es-ES" w:bidi="ar-SA"/>
        </w:rPr>
        <w:t>El Ayuntamiento adjudica la concesión administrativa, a favor de la Fundación Cultural Taurina, para la ocupación de la parcela donde se ubica la Plaza de Toros Portátil para la creación de este equipamiento</w:t>
      </w:r>
    </w:p>
    <w:p>
      <w:pPr>
        <w:pStyle w:val="Normal"/>
        <w:widowControl w:val="false"/>
        <w:suppressAutoHyphens w:val="true"/>
        <w:spacing w:lineRule="auto" w:line="240"/>
        <w:jc w:val="both"/>
        <w:rPr>
          <w:rFonts w:cs="Arial"/>
          <w:lang w:val="es-ES" w:bidi="ar-SA"/>
        </w:rPr>
      </w:pPr>
      <w:r>
        <w:rPr>
          <w:rFonts w:cs="Arial"/>
          <w:lang w:val="es-ES" w:bidi="ar-SA"/>
        </w:rPr>
      </w:r>
    </w:p>
    <w:p>
      <w:pPr>
        <w:pStyle w:val="Normal"/>
        <w:spacing w:lineRule="auto" w:line="240"/>
        <w:jc w:val="both"/>
        <w:rPr>
          <w:rFonts w:ascii="Arial Narrow" w:hAnsi="Arial Narrow"/>
          <w:sz w:val="26"/>
          <w:szCs w:val="26"/>
        </w:rPr>
      </w:pPr>
      <w:r>
        <w:rPr>
          <w:rFonts w:ascii="Arial Narrow" w:hAnsi="Arial Narrow"/>
          <w:b/>
          <w:bCs/>
          <w:sz w:val="26"/>
          <w:szCs w:val="26"/>
          <w:lang w:val="es-ES"/>
        </w:rPr>
        <w:t>9 de mayo de 2024.</w:t>
      </w:r>
      <w:r>
        <w:rPr>
          <w:rFonts w:ascii="Arial Narrow" w:hAnsi="Arial Narrow"/>
          <w:sz w:val="26"/>
          <w:szCs w:val="26"/>
          <w:lang w:val="es-ES"/>
        </w:rPr>
        <w:t xml:space="preserve"> La Junta de Gobierno Local, presidida por la alcaldesa, María José García-Pelayo, ha aprobado </w:t>
      </w:r>
      <w:r>
        <w:rPr>
          <w:rFonts w:ascii="Arial Narrow" w:hAnsi="Arial Narrow"/>
          <w:sz w:val="26"/>
          <w:szCs w:val="26"/>
        </w:rPr>
        <w:t>la adjudicación de la concesión administrativa, a favor de la Fundación Cultural Taurina, para la ocupación de la parcela de la avenida Ámsterdam donde se ubica la Plaza de Toros Portátil, para la creación y gestión de un Centro de Divulgación y Aprendizaje de la Cultura Taurina.</w:t>
      </w:r>
    </w:p>
    <w:p>
      <w:pPr>
        <w:pStyle w:val="Normal"/>
        <w:spacing w:lineRule="auto" w:line="240"/>
        <w:jc w:val="both"/>
        <w:rPr>
          <w:rFonts w:ascii="Arial Narrow" w:hAnsi="Arial Narrow"/>
          <w:sz w:val="26"/>
          <w:szCs w:val="26"/>
        </w:rPr>
      </w:pPr>
      <w:r>
        <w:rPr>
          <w:rFonts w:ascii="Arial Narrow" w:hAnsi="Arial Narrow"/>
          <w:sz w:val="26"/>
          <w:szCs w:val="26"/>
        </w:rPr>
      </w:r>
    </w:p>
    <w:p>
      <w:pPr>
        <w:pStyle w:val="Standard"/>
        <w:numPr>
          <w:ilvl w:val="0"/>
          <w:numId w:val="0"/>
        </w:numPr>
        <w:spacing w:lineRule="auto" w:line="240"/>
        <w:ind w:left="0" w:hanging="0"/>
        <w:jc w:val="both"/>
        <w:outlineLvl w:val="0"/>
        <w:rPr>
          <w:rFonts w:ascii="Arial Narrow" w:hAnsi="Arial Narrow"/>
          <w:sz w:val="26"/>
          <w:szCs w:val="26"/>
        </w:rPr>
      </w:pPr>
      <w:r>
        <w:rPr>
          <w:rFonts w:cs="Trebuchet MS" w:ascii="Arial Narrow" w:hAnsi="Arial Narrow"/>
          <w:sz w:val="26"/>
          <w:szCs w:val="26"/>
          <w:lang w:val="es-ES"/>
        </w:rPr>
        <w:t xml:space="preserve">Como ha explicado la alcaldesa, este acuerdo se produce como respuesta al escrito presentado por el presidente de esta entidad, Rafael Valenzuela Izquierdo, solicitando la cesión de este suelo para destinarlo a la creación de este equipamiento, con el compromiso de presentar el régimen jurídico y las condiciones a las que se sujetará la Escuela Municipal de Tauromaquia de Jerez, que se explotará en estas instalaciones con sujeción a las ordenes e instrucciones que adopte el Ayuntamiento. </w:t>
      </w:r>
    </w:p>
    <w:p>
      <w:pPr>
        <w:pStyle w:val="Standard"/>
        <w:numPr>
          <w:ilvl w:val="0"/>
          <w:numId w:val="0"/>
        </w:numPr>
        <w:spacing w:lineRule="auto" w:line="240"/>
        <w:ind w:left="0" w:hanging="0"/>
        <w:jc w:val="both"/>
        <w:outlineLvl w:val="0"/>
        <w:rPr>
          <w:rFonts w:ascii="Arial Narrow" w:hAnsi="Arial Narrow"/>
          <w:sz w:val="26"/>
          <w:szCs w:val="26"/>
        </w:rPr>
      </w:pPr>
      <w:r>
        <w:rPr>
          <w:rFonts w:cs="Trebuchet MS" w:ascii="Arial Narrow" w:hAnsi="Arial Narrow"/>
          <w:sz w:val="26"/>
          <w:szCs w:val="26"/>
          <w:lang w:val="es-ES"/>
        </w:rPr>
        <w:t xml:space="preserve">De esta forma, y a través de esta concesión administrativa, el Ayuntamiento cumple “su compromiso de reabrir la Escuela Municipal de Tauromaquia de Jerez que fue cerrada por el anterior Gobierno municipal, evidenciando así el impulso a la reapertura de nuestra Escuela de Tauromaquia, que es la más antigua de Andalucía”. </w:t>
      </w:r>
    </w:p>
    <w:p>
      <w:pPr>
        <w:pStyle w:val="Standard"/>
        <w:numPr>
          <w:ilvl w:val="0"/>
          <w:numId w:val="0"/>
        </w:numPr>
        <w:spacing w:lineRule="auto" w:line="240"/>
        <w:ind w:left="0" w:hanging="0"/>
        <w:jc w:val="both"/>
        <w:outlineLvl w:val="0"/>
        <w:rPr>
          <w:rFonts w:ascii="Arial Narrow" w:hAnsi="Arial Narrow"/>
          <w:sz w:val="26"/>
          <w:szCs w:val="26"/>
        </w:rPr>
      </w:pPr>
      <w:r>
        <w:rPr>
          <w:rFonts w:cs="Trebuchet MS" w:ascii="Arial Narrow" w:hAnsi="Arial Narrow"/>
          <w:sz w:val="26"/>
          <w:szCs w:val="26"/>
          <w:lang w:val="es-ES"/>
        </w:rPr>
        <w:t xml:space="preserve">Así pues, con esta concesión administrativa, el Ayuntamiento “muestra, una vez más, su respaldo a la tauromaquia como un valor patrimonial y representativo de la cultura y la tradición jerezana, y también como motor clave de la economía local y generador de riqueza”. </w:t>
      </w:r>
    </w:p>
    <w:p>
      <w:pPr>
        <w:pStyle w:val="Standard"/>
        <w:numPr>
          <w:ilvl w:val="0"/>
          <w:numId w:val="0"/>
        </w:numPr>
        <w:spacing w:lineRule="auto" w:line="240"/>
        <w:ind w:left="0" w:hanging="0"/>
        <w:jc w:val="both"/>
        <w:outlineLvl w:val="0"/>
        <w:rPr>
          <w:rFonts w:ascii="Arial Narrow" w:hAnsi="Arial Narrow"/>
          <w:sz w:val="26"/>
          <w:szCs w:val="26"/>
        </w:rPr>
      </w:pPr>
      <w:r>
        <w:rPr>
          <w:rFonts w:cs="Trebuchet MS" w:ascii="Arial Narrow" w:hAnsi="Arial Narrow"/>
          <w:sz w:val="26"/>
          <w:szCs w:val="26"/>
          <w:lang w:val="es-ES"/>
        </w:rPr>
        <w:t xml:space="preserve">Cabe recordar que María José García-Pelayo expresó recientemente su apoyo al mundo taurino en el </w:t>
      </w:r>
      <w:r>
        <w:rPr>
          <w:rFonts w:cs="Trebuchet MS" w:ascii="Arial Narrow" w:hAnsi="Arial Narrow"/>
          <w:bCs/>
          <w:sz w:val="26"/>
          <w:szCs w:val="26"/>
          <w:lang w:val="es-ES"/>
        </w:rPr>
        <w:t xml:space="preserve">XXXVI Pregón del Toreo Jerezano organizado por la Tertulia Taurina Los 13 y celebrado el pasado día 3 de mayo, al que asistieron, además, la presidenta de la Diputación, Almudena Martínez, y la delegada del Gobierno de la Junta, Mercedes Colombo. </w:t>
      </w:r>
    </w:p>
    <w:p>
      <w:pPr>
        <w:pStyle w:val="Normal"/>
        <w:jc w:val="both"/>
        <w:rPr>
          <w:rFonts w:ascii="Arial Narrow" w:hAnsi="Arial Narrow" w:cs="Trebuchet MS"/>
          <w:bCs/>
          <w:sz w:val="26"/>
          <w:szCs w:val="26"/>
        </w:rPr>
      </w:pPr>
      <w:r>
        <w:rPr>
          <w:rFonts w:cs="Trebuchet MS" w:ascii="Arial Narrow" w:hAnsi="Arial Narrow"/>
          <w:bCs/>
          <w:sz w:val="26"/>
          <w:szCs w:val="26"/>
        </w:rPr>
        <w:t xml:space="preserve">En aquella ocasión, la regidora reconoció “la histórica vinculación de la tauromaquia con la ciudad”, resaltando, a su vez, el gran peso económico que tiene en la ciudad “la </w:t>
      </w:r>
      <w:r>
        <w:rPr>
          <w:rFonts w:cs="Trebuchet MS" w:ascii="Arial Narrow" w:hAnsi="Arial Narrow"/>
          <w:bCs/>
          <w:sz w:val="26"/>
          <w:szCs w:val="26"/>
          <w:lang w:val="es-ES"/>
        </w:rPr>
        <w:t xml:space="preserve">ganadería brava y el mundo del toro en general”. </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cs="Trebuchet MS"/>
          <w:bCs/>
          <w:sz w:val="26"/>
          <w:szCs w:val="26"/>
        </w:rPr>
      </w:pPr>
      <w:r>
        <w:rPr>
          <w:rFonts w:cs="Arial" w:ascii="Arial Narrow" w:hAnsi="Arial Narrow"/>
          <w:bCs/>
          <w:sz w:val="26"/>
          <w:szCs w:val="26"/>
          <w:lang w:val="es-ES" w:eastAsia="en-US"/>
        </w:rPr>
        <w:t xml:space="preserve">La parcela que es objeto de esta concesión administrativa tiene una superficie de 7.976 metros cuadrados. La Plaza de Toros Portátil se encuentra en un estado de deterioro avanzado, siendo necesario realizar una inversión para su puesta en funcionamiento.  </w:t>
      </w:r>
      <w:r>
        <w:rPr>
          <w:rFonts w:eastAsia="Tahoma" w:cs="Arial" w:ascii="Arial Narrow" w:hAnsi="Arial Narrow"/>
          <w:b w:val="false"/>
          <w:bCs/>
          <w:color w:val="auto"/>
          <w:sz w:val="26"/>
          <w:szCs w:val="26"/>
          <w:lang w:val="es-ES" w:eastAsia="en-US"/>
        </w:rPr>
        <w:t xml:space="preserve">Por tanto, la concesionaria deberá llevar a cabo una serie de trabajos para su acondicionamiento y puesta en uso. </w:t>
      </w:r>
    </w:p>
    <w:p>
      <w:pPr>
        <w:pStyle w:val="Normal"/>
        <w:jc w:val="both"/>
        <w:rPr>
          <w:rFonts w:ascii="Arial Narrow" w:hAnsi="Arial Narrow" w:cs="Trebuchet MS"/>
          <w:bCs/>
          <w:sz w:val="26"/>
          <w:szCs w:val="26"/>
        </w:rPr>
      </w:pPr>
      <w:r>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rPr>
                <w:i/>
                <w:i/>
                <w:iCs/>
              </w:rPr>
            </w:pPr>
            <w:r>
              <w:rPr>
                <w:i/>
                <w:iCs/>
              </w:rPr>
              <w:t>Se adjunta fotografía de la alcaldesa junto a un representante de la entidad en la Feria</w:t>
            </w:r>
          </w:p>
        </w:tc>
      </w:tr>
    </w:tbl>
    <w:p>
      <w:pPr>
        <w:pStyle w:val="Normal"/>
        <w:jc w:val="both"/>
        <w:rPr>
          <w:rFonts w:ascii="Arial Narrow" w:hAnsi="Arial Narrow" w:cs="Trebuchet MS"/>
          <w:bCs/>
          <w:sz w:val="26"/>
          <w:szCs w:val="26"/>
        </w:rPr>
      </w:pPr>
      <w:r>
        <w:rPr/>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name w:val="Énfasis1"/>
    <w:qFormat/>
    <w:rPr>
      <w:i/>
      <w:iCs/>
    </w:rPr>
  </w:style>
  <w:style w:type="character" w:styleId="Ttulo1Car">
    <w:name w:val="Título 1 Car"/>
    <w:qFormat/>
    <w:rPr>
      <w:rFonts w:ascii="Calibri" w:hAnsi="Calibri" w:cs="Calibri"/>
      <w:b/>
      <w:color w:val="000000"/>
      <w:sz w:val="28"/>
      <w:szCs w:val="32"/>
    </w:rPr>
  </w:style>
  <w:style w:type="character" w:styleId="Ttulo2Car">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name w:val="Subtítulo Car"/>
    <w:qFormat/>
    <w:rPr>
      <w:rFonts w:ascii="Times New Roman" w:hAnsi="Times New Roman" w:cs="Times New Roman"/>
      <w:i/>
      <w:color w:val="5A5A5A"/>
      <w:spacing w:val="15"/>
      <w:sz w:val="24"/>
      <w:szCs w:val="24"/>
    </w:rPr>
  </w:style>
  <w:style w:type="character" w:styleId="TextonotaalfinalCar">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name w:val="Puesto Car"/>
    <w:qFormat/>
    <w:rPr>
      <w:rFonts w:ascii="Calibri" w:hAnsi="Calibri" w:cs="0"/>
      <w:color w:val="000000"/>
      <w:spacing w:val="-10"/>
      <w:sz w:val="56"/>
      <w:szCs w:val="56"/>
    </w:rPr>
  </w:style>
  <w:style w:type="character" w:styleId="TextonotapieCar">
    <w:name w:val="Texto nota pie Car"/>
    <w:qFormat/>
    <w:rPr>
      <w:rFonts w:ascii="Times New Roman" w:hAnsi="Times New Roman" w:eastAsia="Times New Roman" w:cs="Times New Roman"/>
      <w:color w:val="000000"/>
      <w:sz w:val="20"/>
      <w:szCs w:val="20"/>
    </w:rPr>
  </w:style>
  <w:style w:type="character" w:styleId="Textoindependiente2Car">
    <w:name w:val="Texto independiente 2 Car"/>
    <w:qFormat/>
    <w:rPr>
      <w:rFonts w:ascii="Times New Roman" w:hAnsi="Times New Roman" w:eastAsia="Times New Roman" w:cs="Times New Roman"/>
      <w:color w:val="000000"/>
      <w:sz w:val="24"/>
      <w:szCs w:val="24"/>
    </w:rPr>
  </w:style>
  <w:style w:type="character" w:styleId="TextoindependienteCar">
    <w:name w:val="Texto independiente Car"/>
    <w:basedOn w:val="DefaultParagraphFont"/>
    <w:qFormat/>
    <w:rPr>
      <w:rFonts w:ascii="Tahoma" w:hAnsi="Tahoma" w:cs="Tahoma"/>
      <w:kern w:val="2"/>
      <w:sz w:val="24"/>
      <w:lang w:eastAsia="zh-CN"/>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Bolos">
    <w:name w:val="Bolos"/>
    <w:qFormat/>
    <w:rPr>
      <w:rFonts w:ascii="OpenSymbol;Arial Unicode MS" w:hAnsi="OpenSymbol;Arial Unicode MS" w:eastAsia="OpenSymbol;Arial Unicode MS" w:cs="OpenSymbol;Arial Unicode MS"/>
    </w:rPr>
  </w:style>
  <w:style w:type="character" w:styleId="Fuentedeprrafopredeter">
    <w:name w:val="Fuente de párrafo predeter."/>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uppressAutoHyphens w:val="false"/>
      <w:spacing w:lineRule="auto" w:line="252" w:before="0" w:after="160"/>
      <w:ind w:left="720" w:hanging="0"/>
      <w:contextualSpacing/>
    </w:pPr>
    <w:rPr>
      <w:rFonts w:ascii="Calibri" w:hAnsi="Calibri" w:eastAsia="Calibri" w:cs="font2011"/>
      <w:sz w:val="22"/>
      <w:szCs w:val="22"/>
      <w:lang w:bidi="hi-IN"/>
    </w:rPr>
  </w:style>
  <w:style w:type="paragraph" w:styleId="ListBullet2">
    <w:name w:val="List Bullet 2"/>
    <w:basedOn w:val="Normal"/>
    <w:qFormat/>
    <w:pPr>
      <w:spacing w:before="0" w:after="0"/>
      <w:contextualSpacing/>
    </w:pPr>
    <w:rPr/>
  </w:style>
  <w:style w:type="paragraph" w:styleId="ListBullet3">
    <w:name w:val="List Bullet 3"/>
    <w:basedOn w:val="Normal"/>
    <w:qFormat/>
    <w:pPr>
      <w:spacing w:before="0" w:after="0"/>
      <w:contextualSpacing/>
    </w:pPr>
    <w:rPr/>
  </w:style>
  <w:style w:type="paragraph" w:styleId="Fecha">
    <w:name w:val="fecha"/>
    <w:basedOn w:val="Normal"/>
    <w:qFormat/>
    <w:pPr>
      <w:jc w:val="right"/>
    </w:pPr>
    <w:rPr/>
  </w:style>
  <w:style w:type="paragraph" w:styleId="Normal0">
    <w:name w:val="Normal 0"/>
    <w:basedOn w:val="Normal"/>
    <w:qFormat/>
    <w:pPr>
      <w:spacing w:lineRule="exact" w:line="240"/>
      <w:jc w:val="center"/>
    </w:pPr>
    <w:rPr/>
  </w:style>
  <w:style w:type="paragraph" w:styleId="ListBullet">
    <w:name w:val="List Bullet"/>
    <w:basedOn w:val="Normal"/>
    <w:qFormat/>
    <w:pPr>
      <w:ind w:left="357" w:hanging="357"/>
    </w:pPr>
    <w:rPr/>
  </w:style>
  <w:style w:type="paragraph" w:styleId="Ttuloyobjetosltgliederung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numbering" w:styleId="NoList" w:default="1">
    <w:name w:val="No List"/>
    <w:uiPriority w:val="99"/>
    <w:semiHidden/>
    <w:unhideWhenUsed/>
    <w:qFormat/>
  </w:style>
  <w:style w:type="numbering" w:styleId="WW8Num3">
    <w:name w:val="WW8Num3"/>
    <w:qFormat/>
  </w:style>
  <w:style w:type="numbering" w:styleId="WW8Num1">
    <w:name w:val="WW8Num1"/>
    <w:qFormat/>
  </w:style>
  <w:style w:type="numbering" w:styleId="WW8Num2">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246</TotalTime>
  <Application>LibreOffice/7.3.6.2$Windows_X86_64 LibreOffice_project/c28ca90fd6e1a19e189fc16c05f8f8924961e12e</Application>
  <AppVersion>15.0000</AppVersion>
  <Pages>2</Pages>
  <Words>459</Words>
  <Characters>2380</Characters>
  <CharactersWithSpaces>2835</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dcterms:modified xsi:type="dcterms:W3CDTF">2024-05-09T17:26:48Z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