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047C" w:rsidRDefault="001118D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hAnsi="Arial Narrow" w:cs="Arial Narrow"/>
          <w:b/>
          <w:bCs/>
          <w:sz w:val="40"/>
          <w:szCs w:val="40"/>
          <w:lang w:eastAsia="es-ES_tradnl"/>
        </w:rPr>
      </w:pP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El </w:t>
      </w:r>
      <w:r w:rsidR="00F06CDD">
        <w:rPr>
          <w:rFonts w:ascii="Arial Narrow" w:hAnsi="Arial Narrow" w:cs="Arial Narrow"/>
          <w:b/>
          <w:bCs/>
          <w:sz w:val="40"/>
          <w:szCs w:val="40"/>
          <w:lang w:eastAsia="es-ES_tradnl"/>
        </w:rPr>
        <w:t>Ayuntamiento</w:t>
      </w: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 anima </w:t>
      </w:r>
      <w:r w:rsidR="00F06CDD">
        <w:rPr>
          <w:rFonts w:ascii="Arial Narrow" w:hAnsi="Arial Narrow" w:cs="Arial Narrow"/>
          <w:b/>
          <w:bCs/>
          <w:sz w:val="40"/>
          <w:szCs w:val="40"/>
          <w:lang w:eastAsia="es-ES_tradnl"/>
        </w:rPr>
        <w:t>a las empresas  a  sumarse a la</w:t>
      </w:r>
      <w:bookmarkStart w:id="0" w:name="_GoBack"/>
      <w:bookmarkEnd w:id="0"/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 Ruta del Vino y el Brandy Marco de Jerez para avanzar en nuevos objetivos </w:t>
      </w:r>
      <w:proofErr w:type="spellStart"/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>enoturísticos</w:t>
      </w:r>
      <w:proofErr w:type="spellEnd"/>
    </w:p>
    <w:p w:rsidR="0016047C" w:rsidRDefault="001118D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hAnsi="Arial Narrow" w:cs="Arial Narrow"/>
          <w:b/>
          <w:bCs/>
          <w:sz w:val="40"/>
          <w:szCs w:val="40"/>
          <w:lang w:eastAsia="es-ES_tradnl"/>
        </w:rPr>
      </w:pPr>
      <w:r>
        <w:rPr>
          <w:rFonts w:ascii="Arial Narrow" w:eastAsia="Arial" w:hAnsi="Arial Narrow" w:cs="Arial Narrow"/>
          <w:sz w:val="36"/>
          <w:szCs w:val="36"/>
          <w:lang w:eastAsia="es-ES_tradnl"/>
        </w:rPr>
        <w:t xml:space="preserve">Las delegadas de Empleo y Participación asisten en Bodega Cayetano del Pino a la jornada  ‘Desarrollo del </w:t>
      </w:r>
      <w:proofErr w:type="spellStart"/>
      <w:r w:rsidR="00F06CDD">
        <w:rPr>
          <w:rFonts w:ascii="Arial Narrow" w:eastAsia="Arial" w:hAnsi="Arial Narrow" w:cs="Arial Narrow"/>
          <w:sz w:val="36"/>
          <w:szCs w:val="36"/>
          <w:lang w:eastAsia="es-ES_tradnl"/>
        </w:rPr>
        <w:t>enoturismo</w:t>
      </w:r>
      <w:proofErr w:type="spellEnd"/>
      <w:r w:rsidR="00F06CDD">
        <w:rPr>
          <w:rFonts w:ascii="Arial Narrow" w:eastAsia="Arial" w:hAnsi="Arial Narrow" w:cs="Arial Narrow"/>
          <w:sz w:val="36"/>
          <w:szCs w:val="36"/>
          <w:lang w:eastAsia="es-ES_tradnl"/>
        </w:rPr>
        <w:t xml:space="preserve"> en Jerez’,</w:t>
      </w:r>
      <w:r>
        <w:rPr>
          <w:rFonts w:ascii="Arial Narrow" w:eastAsia="Arial" w:hAnsi="Arial Narrow" w:cs="Arial Narrow"/>
          <w:sz w:val="36"/>
          <w:szCs w:val="36"/>
          <w:lang w:eastAsia="es-ES_tradnl"/>
        </w:rPr>
        <w:t xml:space="preserve"> en el marco del Plan Turístico de Grandes Ciudades</w:t>
      </w:r>
    </w:p>
    <w:p w:rsidR="0016047C" w:rsidRDefault="001118D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16 de marzo de 2024. 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La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delegada de Empleo, Trabajo Autónomo, Comercio y Empresa, </w:t>
      </w:r>
      <w:proofErr w:type="spellStart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Nela</w:t>
      </w:r>
      <w:proofErr w:type="spellEnd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García, </w:t>
      </w:r>
      <w:r>
        <w:rPr>
          <w:rFonts w:ascii="Arial Narrow" w:eastAsia="Arial" w:hAnsi="Arial Narrow" w:cs="Trebuchet MS"/>
          <w:bCs/>
          <w:sz w:val="26"/>
          <w:szCs w:val="26"/>
          <w:lang w:eastAsia="es-ES_tradnl"/>
        </w:rPr>
        <w:t>junto a la delegada de Participación y Juventud, Carmen Pina, han participado en la jornad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a ‘Desarrollo del </w:t>
      </w:r>
      <w:proofErr w:type="spellStart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enoturismo</w:t>
      </w:r>
      <w:proofErr w:type="spellEnd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en Jerez’, organizada por la Asociación  Ruta del Vino y el Brandy Marco de Jerez, como actividad incluida en el Plan Turístico de Grandes Ciudades de Jerez, cofinanciado al 50%  por el Ayuntamiento y la Junta de Andalucía.</w:t>
      </w:r>
    </w:p>
    <w:p w:rsidR="0016047C" w:rsidRDefault="001118D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En este acto se han dado cita también Fulgencio Meseguer, director ejecutivo de Bodega Cayetano del Pino, donde se celebró esta sesión y César Saldaña, presidente de la Ruta del Vino y el Brandy del Marco de Jerez. A este encuentro asistieron igualmente representantes de varias empresas de la zona.</w:t>
      </w:r>
    </w:p>
    <w:p w:rsidR="0016047C" w:rsidRDefault="001118D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proofErr w:type="spellStart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Nela</w:t>
      </w:r>
      <w:proofErr w:type="spellEnd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García, en nombre del teniente de alcaldesa de Turismo y Promoción de la Ciudad, Antonio Real, ha agradecido la organización de esta jornada para profundizar en la actividad </w:t>
      </w:r>
      <w:proofErr w:type="spellStart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enoturística</w:t>
      </w:r>
      <w:proofErr w:type="spellEnd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orientada también a mostrar </w:t>
      </w:r>
      <w:r>
        <w:rPr>
          <w:rFonts w:ascii="Arial Narrow" w:eastAsia="Arial" w:hAnsi="Arial Narrow" w:cs="Arial Narrow"/>
          <w:bCs/>
          <w:color w:val="000000"/>
          <w:sz w:val="26"/>
          <w:szCs w:val="26"/>
          <w:lang w:eastAsia="es-ES_tradnl"/>
        </w:rPr>
        <w:t>sus oportunidades y potencial.</w:t>
      </w:r>
    </w:p>
    <w:p w:rsidR="0016047C" w:rsidRDefault="001118D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En este sentido, la delegada ha destacado los buenos datos  que el </w:t>
      </w:r>
      <w:proofErr w:type="spellStart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enoturismo</w:t>
      </w:r>
      <w:proofErr w:type="spellEnd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ha registrado en la ciudad en 2023, con 208.467 visitas a bodegas, casi 41.000 más que el año anterior, a lo que se suma el incremento significativo del grado de satisfacción de los visitantes por la calidad de la oferta del destino.</w:t>
      </w:r>
    </w:p>
    <w:p w:rsidR="0016047C" w:rsidRDefault="001118D9">
      <w:pPr>
        <w:jc w:val="both"/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La responsable de Empleo ha invitado a las empresa representadas en este acto a reflexionar sobre “la necesidad de que toda la industria del turismo: hoteles, museos, hostelería, comercio y otros servicios y administraciones públicas trabajemos de forma conjunta  en la tarea de desarrollar al máximo nuestro potencial”. </w:t>
      </w:r>
    </w:p>
    <w:p w:rsidR="0016047C" w:rsidRDefault="0016047C">
      <w:pPr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</w:p>
    <w:p w:rsidR="0016047C" w:rsidRDefault="001118D9">
      <w:pPr>
        <w:jc w:val="both"/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Por todo esto, ha animado a las empresas relacionadas con la cultura vitivinícola a que se unan a la Asociación Rutas del Vino y el Brandy Marco de Jerez, para formar parte de la oferta </w:t>
      </w:r>
      <w:proofErr w:type="spellStart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enoturística</w:t>
      </w:r>
      <w:proofErr w:type="spellEnd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“porque cuantos más miembros estemos remando en la misma dirección, más ideas y más propuestas podremos poner sobre la mesa y mayor potencial tendrá nuestra ciudad para cumplir cada vez mejores objetivos”.</w:t>
      </w:r>
    </w:p>
    <w:p w:rsidR="0016047C" w:rsidRDefault="0016047C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</w:p>
    <w:p w:rsidR="0016047C" w:rsidRDefault="001118D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La delegada de  Empleo, Trabajo Autónomo, Comercio y Empresa ha incidido en que el Gobierno de la Ciudad ha apostado muy fuerte por la industria del turismo, y particularmente por la oferta </w:t>
      </w:r>
      <w:proofErr w:type="spellStart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enoturística</w:t>
      </w:r>
      <w:proofErr w:type="spellEnd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,  con el objetivo de   dinamizar económicamente el territorio, a través de la industria y cultura del vino. “Tenemos la fuerza y la unión de voluntades de más de cien instituciones, entidades y empresas asociadas a la Ruta del Vino y el Brandy  Marco de Jerez,  un perfecto ejemplo de la eficiencia de una buena colaboración público-privada, y tenemos además un producto excelente con unos resultados muy buenos”, ha subrayado.  </w:t>
      </w:r>
    </w:p>
    <w:p w:rsidR="0016047C" w:rsidRDefault="001118D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Sobre el Plan Turístico de Grandes Ciudades de Jerez, la delegada ha recordado que gracias a esta iniciativa, la ciudad cuenta con la nueva marca ‘Jerez Siempre’ y el Ayuntamiento ha emprendido inversiones de gran interés para la industria del turismo como la instalación de fibra óptica y </w:t>
      </w:r>
      <w:proofErr w:type="spellStart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videovigilancia</w:t>
      </w:r>
      <w:proofErr w:type="spellEnd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en el Alcázar, el nuevo centro de recepción al visitante en este mismo Conjunto Monumental, los nuevos dispositivos táctiles interactivos de información turística  o el diseño de un plan de señalización turística integral, entre otras.</w:t>
      </w:r>
    </w:p>
    <w:p w:rsidR="0016047C" w:rsidRDefault="001118D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(Se adjunta fotografía)</w:t>
      </w:r>
    </w:p>
    <w:sectPr w:rsidR="0016047C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596" w:rsidRDefault="001118D9">
      <w:r>
        <w:separator/>
      </w:r>
    </w:p>
  </w:endnote>
  <w:endnote w:type="continuationSeparator" w:id="0">
    <w:p w:rsidR="00A14596" w:rsidRDefault="0011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7C" w:rsidRDefault="001118D9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0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596" w:rsidRDefault="001118D9">
      <w:r>
        <w:separator/>
      </w:r>
    </w:p>
  </w:footnote>
  <w:footnote w:type="continuationSeparator" w:id="0">
    <w:p w:rsidR="00A14596" w:rsidRDefault="0011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7C" w:rsidRDefault="001118D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86917"/>
    <w:multiLevelType w:val="multilevel"/>
    <w:tmpl w:val="AC3891B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965B72"/>
    <w:multiLevelType w:val="multilevel"/>
    <w:tmpl w:val="E96C71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7C"/>
    <w:rsid w:val="001118D9"/>
    <w:rsid w:val="0016047C"/>
    <w:rsid w:val="00A14596"/>
    <w:rsid w:val="00F0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F32D8-DB71-48AE-861A-D4B04C61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F4279D"/>
    <w:rPr>
      <w:rFonts w:ascii="Tahoma" w:hAnsi="Tahoma" w:cs="Tahoma"/>
      <w:kern w:val="2"/>
      <w:sz w:val="24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11">
    <w:name w:val="caption1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546</Words>
  <Characters>3004</Characters>
  <Application>Microsoft Office Word</Application>
  <DocSecurity>0</DocSecurity>
  <Lines>25</Lines>
  <Paragraphs>7</Paragraphs>
  <ScaleCrop>false</ScaleCrop>
  <Company>HP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5</cp:revision>
  <cp:lastPrinted>2023-10-11T07:08:00Z</cp:lastPrinted>
  <dcterms:created xsi:type="dcterms:W3CDTF">2024-03-13T12:58:00Z</dcterms:created>
  <dcterms:modified xsi:type="dcterms:W3CDTF">2024-03-16T07:19:00Z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