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67C" w:rsidRDefault="00E8347F">
      <w:pPr>
        <w:spacing w:after="140"/>
        <w:rPr>
          <w:rFonts w:ascii="Arial Narrow" w:hAnsi="Arial Narrow"/>
        </w:rPr>
      </w:pPr>
      <w:r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El Ayuntamiento de Jerez inicia la licitación pa</w:t>
      </w:r>
      <w:r w:rsidR="00381E38"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 xml:space="preserve">ra la instalación de un </w:t>
      </w:r>
      <w:r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bar</w:t>
      </w:r>
      <w:r w:rsidR="00560DAE"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-</w:t>
      </w:r>
      <w:r w:rsidR="00381E38"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restaurante</w:t>
      </w:r>
      <w:r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 xml:space="preserve"> en La Laguna de </w:t>
      </w:r>
      <w:proofErr w:type="spellStart"/>
      <w:r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Torrox</w:t>
      </w:r>
      <w:proofErr w:type="spellEnd"/>
    </w:p>
    <w:p w:rsidR="007E367C" w:rsidRDefault="007E367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</w:rPr>
      </w:pPr>
    </w:p>
    <w:p w:rsidR="007E367C" w:rsidRDefault="00E834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 w:cs="Arial"/>
          <w:sz w:val="32"/>
          <w:szCs w:val="32"/>
          <w:lang w:eastAsia="es-ES_tradnl"/>
        </w:rPr>
        <w:t xml:space="preserve">Este servicio de restauración se suma a otras mejoras realizadas por el Ayuntamiento en este espacio verde, entre ellas la dotación de alumbrado, </w:t>
      </w:r>
      <w:r>
        <w:rPr>
          <w:rFonts w:ascii="Arial Narrow" w:hAnsi="Arial Narrow" w:cs="Arial"/>
          <w:sz w:val="32"/>
          <w:szCs w:val="32"/>
          <w:lang w:eastAsia="es-ES_tradnl"/>
        </w:rPr>
        <w:t xml:space="preserve">el arreglo de senderos peatonales, o la instalación de un parque infantil, parque canino o </w:t>
      </w:r>
      <w:proofErr w:type="spellStart"/>
      <w:r>
        <w:rPr>
          <w:rFonts w:ascii="Arial Narrow" w:hAnsi="Arial Narrow" w:cs="Arial"/>
          <w:sz w:val="32"/>
          <w:szCs w:val="32"/>
          <w:lang w:eastAsia="es-ES_tradnl"/>
        </w:rPr>
        <w:t>biosaludables</w:t>
      </w:r>
      <w:proofErr w:type="spellEnd"/>
    </w:p>
    <w:p w:rsidR="007E367C" w:rsidRDefault="007E367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</w:rPr>
      </w:pPr>
    </w:p>
    <w:p w:rsidR="007E367C" w:rsidRDefault="00E834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</w:rPr>
      </w:pPr>
      <w:r>
        <w:rPr>
          <w:rFonts w:ascii="Arial Narrow" w:hAnsi="Arial Narrow" w:cs="Arial"/>
          <w:sz w:val="32"/>
          <w:szCs w:val="32"/>
          <w:lang w:eastAsia="es-ES_tradnl"/>
        </w:rPr>
        <w:t>El nuevo equipamiento se instalará en una parcela de 600 metros cuadrados e incluirá terraza para veladores y un parque infantil</w:t>
      </w:r>
    </w:p>
    <w:p w:rsidR="007E367C" w:rsidRDefault="007E367C">
      <w:pPr>
        <w:jc w:val="both"/>
        <w:rPr>
          <w:rFonts w:ascii="Arial Narrow" w:hAnsi="Arial Narrow"/>
          <w:szCs w:val="24"/>
        </w:rPr>
      </w:pPr>
    </w:p>
    <w:p w:rsidR="007E367C" w:rsidRDefault="00E8347F">
      <w:pPr>
        <w:jc w:val="both"/>
      </w:pPr>
      <w:r>
        <w:rPr>
          <w:rFonts w:ascii="Arial Narrow" w:eastAsia="Trebuchet MS" w:hAnsi="Arial Narrow" w:cs="Arial"/>
          <w:b/>
          <w:bCs/>
          <w:color w:val="000000"/>
          <w:sz w:val="26"/>
          <w:szCs w:val="26"/>
        </w:rPr>
        <w:t>25 de mayo de 2023.</w:t>
      </w:r>
      <w:r>
        <w:rPr>
          <w:rFonts w:ascii="Arial Narrow" w:eastAsia="Trebuchet MS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eastAsia="Trebuchet MS" w:hAnsi="Arial Narrow" w:cs="Arial"/>
          <w:color w:val="000000"/>
          <w:sz w:val="26"/>
          <w:szCs w:val="26"/>
        </w:rPr>
        <w:t>El Ayuntamiento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 de Jerez ha iniciado la licitación para adjudicar, en régimen de concesión administrativ</w:t>
      </w:r>
      <w:r w:rsidR="00381E38"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a, la instalación y explotación de un 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bar </w:t>
      </w:r>
      <w:r w:rsidR="00381E38"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restaurante 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con zona de terraza y parque infantil en una parcela de titularidad municipal situada en la Laguna de </w:t>
      </w:r>
      <w:proofErr w:type="spellStart"/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Torrox</w:t>
      </w:r>
      <w:proofErr w:type="spellEnd"/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. El tipo de licitación, correspondiente al canon total de la concesión, asciende a 213.506 euros, dividido en veinte anualidades de 10.675 euros. </w:t>
      </w:r>
    </w:p>
    <w:p w:rsidR="007E367C" w:rsidRDefault="007E367C">
      <w:pPr>
        <w:jc w:val="both"/>
        <w:rPr>
          <w:rFonts w:eastAsia="Trebuchet MS" w:cs="Arial"/>
          <w:color w:val="000000"/>
          <w:lang w:eastAsia="es-ES"/>
        </w:rPr>
      </w:pPr>
    </w:p>
    <w:p w:rsidR="007E367C" w:rsidRDefault="00E8347F">
      <w:pPr>
        <w:jc w:val="both"/>
      </w:pP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A través de un acuerdo de Junta de Gobierno Local, esta semana se ha aprobado la convocatoria de la c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itada licitación pública, así como los correspondientes pliegos de condiciones técnicas y particulares por los que se adjudicará esta concesión administrativa, para la ocupación de la parcela destinada a este nuevo equipamiento, que tiene una superficie de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 600 metros cuadrados. </w:t>
      </w:r>
    </w:p>
    <w:p w:rsidR="007E367C" w:rsidRDefault="007E367C">
      <w:pPr>
        <w:jc w:val="both"/>
      </w:pPr>
    </w:p>
    <w:p w:rsidR="007E367C" w:rsidRDefault="00E8347F">
      <w:pPr>
        <w:jc w:val="both"/>
      </w:pP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La concesión incluye </w:t>
      </w:r>
      <w:r w:rsidR="00381E38"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l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a instalación de este bar resta</w:t>
      </w:r>
      <w:r w:rsidR="00381E38"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u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r</w:t>
      </w:r>
      <w:r w:rsidR="00381E38"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ante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 con todas las infraestructuras necesarias y obligatorias para su puesta en funcionamiento, y que incluirá una terraza para la colocación de veladores y demás elementos de mobili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ario urbano, así como una zona de juegos infantiles. </w:t>
      </w:r>
    </w:p>
    <w:p w:rsidR="007E367C" w:rsidRDefault="007E367C">
      <w:pPr>
        <w:jc w:val="both"/>
        <w:rPr>
          <w:rFonts w:eastAsia="Trebuchet MS" w:cs="Arial"/>
          <w:color w:val="000000"/>
          <w:lang w:eastAsia="es-ES"/>
        </w:rPr>
      </w:pPr>
    </w:p>
    <w:p w:rsidR="007E367C" w:rsidRDefault="00E8347F">
      <w:pPr>
        <w:jc w:val="both"/>
      </w:pP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Este servicio de restauración se suma a otras mejoras llevadas a cabo por el Ayuntamiento en la Laguna de </w:t>
      </w:r>
      <w:proofErr w:type="spellStart"/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Torrox</w:t>
      </w:r>
      <w:proofErr w:type="spellEnd"/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, al objeto de convertir este espacio verde en un lugar más atractivo y funcional para el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 xml:space="preserve"> ocio, hacer deporte, pasear y disfrutar de jornadas de convivencia en familia. </w:t>
      </w:r>
    </w:p>
    <w:p w:rsidR="007E367C" w:rsidRDefault="007E367C">
      <w:pPr>
        <w:jc w:val="both"/>
        <w:rPr>
          <w:rFonts w:eastAsia="Trebuchet MS" w:cs="Arial"/>
          <w:color w:val="000000"/>
          <w:lang w:eastAsia="es-ES"/>
        </w:rPr>
      </w:pPr>
    </w:p>
    <w:p w:rsidR="007E367C" w:rsidRDefault="00E8347F">
      <w:pPr>
        <w:jc w:val="both"/>
      </w:pPr>
      <w:r>
        <w:rPr>
          <w:rFonts w:ascii="Arial Narrow" w:eastAsia="Trebuchet MS" w:hAnsi="Arial Narrow" w:cs="Arial"/>
          <w:color w:val="000000"/>
          <w:sz w:val="26"/>
          <w:szCs w:val="26"/>
          <w:lang w:eastAsia="es-ES"/>
        </w:rPr>
        <w:t>Cabe recordar, entre otras actuaciones desarrolladas en los últimos años, la repavimentación del sendero del lóbulo 2, la</w:t>
      </w:r>
      <w:r>
        <w:rPr>
          <w:rFonts w:ascii="Arial Narrow" w:hAnsi="Arial Narrow"/>
          <w:sz w:val="26"/>
          <w:szCs w:val="26"/>
        </w:rPr>
        <w:t xml:space="preserve"> dotación de iluminación en los recorridos peatonales</w:t>
      </w:r>
      <w:r>
        <w:rPr>
          <w:rFonts w:ascii="Arial Narrow" w:hAnsi="Arial Narrow"/>
          <w:sz w:val="26"/>
          <w:szCs w:val="26"/>
        </w:rPr>
        <w:t xml:space="preserve"> de ambos lóbulos, la instalación de una zona de esparcimiento canino, de un parque infantil y de elementos de ejercicios  </w:t>
      </w:r>
      <w:proofErr w:type="spellStart"/>
      <w:r>
        <w:rPr>
          <w:rFonts w:ascii="Arial Narrow" w:hAnsi="Arial Narrow"/>
          <w:sz w:val="26"/>
          <w:szCs w:val="26"/>
        </w:rPr>
        <w:lastRenderedPageBreak/>
        <w:t>biosaludables</w:t>
      </w:r>
      <w:proofErr w:type="spellEnd"/>
      <w:r>
        <w:rPr>
          <w:rFonts w:ascii="Arial Narrow" w:hAnsi="Arial Narrow"/>
          <w:sz w:val="26"/>
          <w:szCs w:val="26"/>
        </w:rPr>
        <w:t xml:space="preserve">, o la plantación de arbolado en distintas campañas anuales de plantación. </w:t>
      </w:r>
    </w:p>
    <w:p w:rsidR="007E367C" w:rsidRDefault="007E367C">
      <w:pPr>
        <w:jc w:val="both"/>
        <w:rPr>
          <w:rFonts w:ascii="Arial Narrow" w:hAnsi="Arial Narrow"/>
          <w:sz w:val="26"/>
          <w:szCs w:val="26"/>
        </w:rPr>
      </w:pPr>
    </w:p>
    <w:p w:rsidR="007E367C" w:rsidRDefault="00E8347F">
      <w:pPr>
        <w:jc w:val="both"/>
      </w:pPr>
      <w:r>
        <w:rPr>
          <w:rFonts w:ascii="Arial Narrow" w:hAnsi="Arial Narrow"/>
          <w:sz w:val="26"/>
          <w:szCs w:val="26"/>
        </w:rPr>
        <w:t xml:space="preserve">Asimismo, recientemente han finalizado las obras de reforma de acerados y alcorques </w:t>
      </w:r>
      <w:r>
        <w:rPr>
          <w:rFonts w:ascii="Arial Narrow" w:hAnsi="Arial Narrow" w:cs="Arial"/>
          <w:sz w:val="26"/>
          <w:szCs w:val="26"/>
        </w:rPr>
        <w:t>de la calle</w:t>
      </w: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William Shakespeare, situada en este entorno, que ha incluido también la mejora de la</w:t>
      </w:r>
      <w:r>
        <w:rPr>
          <w:rFonts w:ascii="Arial Narrow" w:hAnsi="Arial Narrow" w:cs="Arial"/>
          <w:sz w:val="26"/>
          <w:szCs w:val="26"/>
        </w:rPr>
        <w:t xml:space="preserve"> pavimentación de la zona perimetral de la Laguna de </w:t>
      </w:r>
      <w:proofErr w:type="spellStart"/>
      <w:r>
        <w:rPr>
          <w:rFonts w:ascii="Arial Narrow" w:hAnsi="Arial Narrow" w:cs="Arial"/>
          <w:sz w:val="26"/>
          <w:szCs w:val="26"/>
        </w:rPr>
        <w:t>Torrox</w:t>
      </w:r>
      <w:proofErr w:type="spellEnd"/>
      <w:r>
        <w:rPr>
          <w:rFonts w:ascii="Arial Narrow" w:hAnsi="Arial Narrow" w:cs="Arial"/>
          <w:sz w:val="26"/>
          <w:szCs w:val="26"/>
        </w:rPr>
        <w:t xml:space="preserve">. </w:t>
      </w:r>
    </w:p>
    <w:p w:rsidR="007E367C" w:rsidRDefault="007E367C">
      <w:pPr>
        <w:jc w:val="both"/>
        <w:rPr>
          <w:rFonts w:ascii="Arial Narrow" w:hAnsi="Arial Narrow"/>
          <w:sz w:val="26"/>
          <w:szCs w:val="26"/>
        </w:rPr>
      </w:pPr>
    </w:p>
    <w:p w:rsidR="007E367C" w:rsidRDefault="00E8347F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Criterios de</w:t>
      </w:r>
      <w:r>
        <w:rPr>
          <w:rFonts w:ascii="Arial Narrow" w:hAnsi="Arial Narrow"/>
          <w:b/>
          <w:bCs/>
          <w:sz w:val="26"/>
          <w:szCs w:val="26"/>
        </w:rPr>
        <w:t xml:space="preserve"> valoración</w:t>
      </w:r>
    </w:p>
    <w:p w:rsidR="007E367C" w:rsidRDefault="007E367C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7E367C" w:rsidRDefault="00E8347F">
      <w:pPr>
        <w:jc w:val="both"/>
      </w:pPr>
      <w:bookmarkStart w:id="1" w:name="page9R_mcid10"/>
      <w:bookmarkEnd w:id="1"/>
      <w:r>
        <w:rPr>
          <w:rFonts w:ascii="Arial Narrow" w:hAnsi="Arial Narrow"/>
          <w:sz w:val="26"/>
          <w:szCs w:val="26"/>
        </w:rPr>
        <w:t>En cuanto a las características del nuevo establecimiento, el pliego de condiciones establece las siguientes superficies: 100,00 m</w:t>
      </w:r>
      <w:r w:rsidR="00381E38">
        <w:rPr>
          <w:rFonts w:ascii="Arial Narrow" w:hAnsi="Arial Narrow"/>
          <w:sz w:val="26"/>
          <w:szCs w:val="26"/>
        </w:rPr>
        <w:t>etros cuadrados para el bar restaurante en sí</w:t>
      </w:r>
      <w:r>
        <w:rPr>
          <w:rFonts w:ascii="Arial Narrow" w:hAnsi="Arial Narrow"/>
          <w:sz w:val="26"/>
          <w:szCs w:val="26"/>
        </w:rPr>
        <w:t xml:space="preserve"> (de los que 70 metros cuadrados se destinan al bar y el resto a una zona de p</w:t>
      </w:r>
      <w:r>
        <w:rPr>
          <w:rFonts w:ascii="Arial Narrow" w:hAnsi="Arial Narrow"/>
          <w:sz w:val="26"/>
          <w:szCs w:val="26"/>
        </w:rPr>
        <w:t xml:space="preserve">érgola, un toldo fijo o porche adosado a la edificación); 300 metros cuadrados para la terraza donde irán ubicadas las mesas y sillas; y 200 metros cuadrados para la instalación del parque infantil. </w:t>
      </w:r>
    </w:p>
    <w:p w:rsidR="007E367C" w:rsidRDefault="007E367C">
      <w:pPr>
        <w:jc w:val="both"/>
        <w:rPr>
          <w:rFonts w:ascii="Arial Narrow" w:hAnsi="Arial Narrow"/>
          <w:sz w:val="26"/>
          <w:szCs w:val="26"/>
        </w:rPr>
      </w:pPr>
    </w:p>
    <w:p w:rsidR="007E367C" w:rsidRDefault="00E8347F">
      <w:pPr>
        <w:jc w:val="both"/>
      </w:pPr>
      <w:r>
        <w:rPr>
          <w:rFonts w:ascii="Arial Narrow" w:hAnsi="Arial Narrow" w:cs="Arial"/>
          <w:color w:val="000000"/>
          <w:sz w:val="26"/>
          <w:szCs w:val="26"/>
        </w:rPr>
        <w:t>Cabe destacar que, entre los criterios de valoración de</w:t>
      </w:r>
      <w:r>
        <w:rPr>
          <w:rFonts w:ascii="Arial Narrow" w:hAnsi="Arial Narrow" w:cs="Arial"/>
          <w:color w:val="000000"/>
          <w:sz w:val="26"/>
          <w:szCs w:val="26"/>
        </w:rPr>
        <w:t xml:space="preserve"> ofertas, se incluyen aquéllas que propongan un determinado número de personas demandantes de empleo a las que se compromete a contratar el licitador para la ejecución del contrato, así como el compromiso de elaboración o disposición de un Plan de Igualdad</w:t>
      </w:r>
      <w:r>
        <w:rPr>
          <w:rFonts w:ascii="Arial Narrow" w:hAnsi="Arial Narrow" w:cs="Arial"/>
          <w:color w:val="000000"/>
          <w:sz w:val="26"/>
          <w:szCs w:val="26"/>
        </w:rPr>
        <w:t>.</w:t>
      </w:r>
    </w:p>
    <w:p w:rsidR="007E367C" w:rsidRDefault="00E8347F">
      <w:pPr>
        <w:jc w:val="both"/>
      </w:pPr>
      <w:r>
        <w:rPr>
          <w:rFonts w:ascii="Arial Narrow" w:hAnsi="Arial Narrow" w:cs="Arial"/>
          <w:color w:val="000000"/>
          <w:szCs w:val="24"/>
        </w:rPr>
        <w:br/>
      </w:r>
    </w:p>
    <w:p w:rsidR="007E367C" w:rsidRDefault="007E367C">
      <w:pPr>
        <w:jc w:val="both"/>
        <w:rPr>
          <w:rFonts w:ascii="Arial Narrow" w:hAnsi="Arial Narrow"/>
        </w:rPr>
      </w:pPr>
    </w:p>
    <w:p w:rsidR="007E367C" w:rsidRDefault="007E367C">
      <w:pPr>
        <w:jc w:val="both"/>
        <w:rPr>
          <w:rFonts w:eastAsia="Trebuchet MS" w:cs="Arial"/>
          <w:bCs/>
          <w:color w:val="000000"/>
          <w:lang w:eastAsia="es-ES"/>
        </w:rPr>
      </w:pPr>
    </w:p>
    <w:p w:rsidR="007E367C" w:rsidRDefault="007E367C">
      <w:pPr>
        <w:jc w:val="both"/>
        <w:rPr>
          <w:rFonts w:eastAsia="Trebuchet MS" w:cs="Arial"/>
          <w:color w:val="000000"/>
          <w:lang w:eastAsia="es-ES"/>
        </w:rPr>
      </w:pPr>
    </w:p>
    <w:p w:rsidR="007E367C" w:rsidRDefault="007E367C">
      <w:pPr>
        <w:rPr>
          <w:rFonts w:eastAsia="Trebuchet MS" w:cs="Arial"/>
          <w:color w:val="000000"/>
          <w:sz w:val="26"/>
          <w:szCs w:val="26"/>
          <w:lang w:eastAsia="es-ES"/>
        </w:rPr>
      </w:pPr>
    </w:p>
    <w:p w:rsidR="007E367C" w:rsidRDefault="007E367C">
      <w:pPr>
        <w:rPr>
          <w:rFonts w:eastAsia="Trebuchet MS" w:cs="Arial"/>
          <w:color w:val="000000"/>
          <w:sz w:val="26"/>
          <w:szCs w:val="26"/>
          <w:lang w:eastAsia="es-ES"/>
        </w:rPr>
      </w:pPr>
    </w:p>
    <w:p w:rsidR="007E367C" w:rsidRDefault="007E367C">
      <w:pPr>
        <w:jc w:val="both"/>
      </w:pPr>
    </w:p>
    <w:sectPr w:rsidR="007E367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347F">
      <w:r>
        <w:separator/>
      </w:r>
    </w:p>
  </w:endnote>
  <w:endnote w:type="continuationSeparator" w:id="0">
    <w:p w:rsidR="00000000" w:rsidRDefault="00E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8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7C" w:rsidRDefault="007E367C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347F">
      <w:r>
        <w:separator/>
      </w:r>
    </w:p>
  </w:footnote>
  <w:footnote w:type="continuationSeparator" w:id="0">
    <w:p w:rsidR="00000000" w:rsidRDefault="00E8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7C" w:rsidRDefault="007E367C">
    <w:pPr>
      <w:pStyle w:val="Encabezado"/>
      <w:rPr>
        <w:sz w:val="26"/>
        <w:szCs w:val="26"/>
        <w:u w:val="single"/>
        <w:lang w:val="x-none" w:eastAsia="x-none"/>
      </w:rPr>
    </w:pPr>
  </w:p>
  <w:p w:rsidR="007E367C" w:rsidRDefault="00E8347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3D8E"/>
    <w:multiLevelType w:val="multilevel"/>
    <w:tmpl w:val="7728B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8C5A3C"/>
    <w:multiLevelType w:val="multilevel"/>
    <w:tmpl w:val="110A0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67C"/>
    <w:rsid w:val="00381E38"/>
    <w:rsid w:val="00560DAE"/>
    <w:rsid w:val="007E367C"/>
    <w:rsid w:val="00E8347F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96534-9515-4FB7-9076-4375F38F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60z1">
    <w:name w:val="WW8Num60z1"/>
    <w:qFormat/>
    <w:rPr>
      <w:rFonts w:ascii="OpenSymbol" w:hAnsi="OpenSymbol" w:cs="OpenSymbol"/>
    </w:rPr>
  </w:style>
  <w:style w:type="character" w:customStyle="1" w:styleId="WW8Num61z1">
    <w:name w:val="WW8Num61z1"/>
    <w:qFormat/>
    <w:rPr>
      <w:rFonts w:ascii="OpenSymbol" w:hAnsi="OpenSymbol" w:cs="OpenSymbol"/>
    </w:rPr>
  </w:style>
  <w:style w:type="character" w:customStyle="1" w:styleId="WW8Num62z1">
    <w:name w:val="WW8Num62z1"/>
    <w:qFormat/>
    <w:rPr>
      <w:rFonts w:ascii="OpenSymbol" w:hAnsi="OpenSymbol" w:cs="OpenSymbol"/>
    </w:rPr>
  </w:style>
  <w:style w:type="character" w:customStyle="1" w:styleId="WW8Num63z1">
    <w:name w:val="WW8Num63z1"/>
    <w:qFormat/>
    <w:rPr>
      <w:rFonts w:ascii="OpenSymbol" w:hAnsi="OpenSymbol" w:cs="OpenSymbol"/>
    </w:rPr>
  </w:style>
  <w:style w:type="character" w:customStyle="1" w:styleId="WW8Num64z1">
    <w:name w:val="WW8Num64z1"/>
    <w:qFormat/>
    <w:rPr>
      <w:rFonts w:ascii="OpenSymbol" w:hAnsi="OpenSymbol" w:cs="OpenSymbol"/>
    </w:rPr>
  </w:style>
  <w:style w:type="character" w:customStyle="1" w:styleId="WW8Num65z1">
    <w:name w:val="WW8Num65z1"/>
    <w:qFormat/>
    <w:rPr>
      <w:rFonts w:ascii="OpenSymbol" w:hAnsi="OpenSymbol" w:cs="OpenSymbol"/>
    </w:rPr>
  </w:style>
  <w:style w:type="character" w:customStyle="1" w:styleId="WW8Num67z1">
    <w:name w:val="WW8Num67z1"/>
    <w:qFormat/>
    <w:rPr>
      <w:rFonts w:ascii="OpenSymbol" w:hAnsi="OpenSymbol" w:cs="OpenSymbol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2z2">
    <w:name w:val="WW8Num52z2"/>
    <w:qFormat/>
    <w:rPr>
      <w:rFonts w:cs="OpenSymbol"/>
    </w:rPr>
  </w:style>
  <w:style w:type="character" w:customStyle="1" w:styleId="WW8Num52z3">
    <w:name w:val="WW8Num52z3"/>
    <w:qFormat/>
    <w:rPr>
      <w:rFonts w:cs="OpenSymbol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66z1">
    <w:name w:val="WW8Num66z1"/>
    <w:qFormat/>
    <w:rPr>
      <w:rFonts w:ascii="OpenSymbol" w:hAnsi="OpenSymbol" w:cs="OpenSymbol"/>
    </w:rPr>
  </w:style>
  <w:style w:type="character" w:customStyle="1" w:styleId="WW8Num66z0">
    <w:name w:val="WW8Num66z0"/>
    <w:qFormat/>
    <w:rPr>
      <w:rFonts w:ascii="Symbol" w:hAnsi="Symbol" w:cs="OpenSymbol"/>
    </w:rPr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37z0">
    <w:name w:val="WW8Num37z0"/>
    <w:qFormat/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author">
    <w:name w:val="author"/>
    <w:qFormat/>
  </w:style>
  <w:style w:type="character" w:customStyle="1" w:styleId="WW8Num59z1">
    <w:name w:val="WW8Num59z1"/>
    <w:qFormat/>
    <w:rPr>
      <w:rFonts w:ascii="OpenSymbol" w:hAnsi="OpenSymbol" w:cs="OpenSymbol"/>
    </w:rPr>
  </w:style>
  <w:style w:type="character" w:customStyle="1" w:styleId="WW-Caracteresdenotafinal">
    <w:name w:val="WW-Caracteres de nota final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s2">
    <w:name w:val="s2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1z3">
    <w:name w:val="WW8Num11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  <w:rPr>
      <w:rFonts w:ascii="OpenSymbol" w:eastAsia="OpenSymbol" w:hAnsi="OpenSymbol" w:cs="OpenSymbol"/>
    </w:rPr>
  </w:style>
  <w:style w:type="character" w:customStyle="1" w:styleId="WW8Num56z1">
    <w:name w:val="WW8Num56z1"/>
    <w:qFormat/>
    <w:rPr>
      <w:rFonts w:ascii="OpenSymbol" w:eastAsia="OpenSymbol" w:hAnsi="OpenSymbol" w:cs="OpenSymbol"/>
    </w:rPr>
  </w:style>
  <w:style w:type="character" w:customStyle="1" w:styleId="WW8Num55z1">
    <w:name w:val="WW8Num55z1"/>
    <w:qFormat/>
    <w:rPr>
      <w:rFonts w:ascii="OpenSymbol" w:eastAsia="OpenSymbol" w:hAnsi="OpenSymbol" w:cs="OpenSymbol"/>
    </w:rPr>
  </w:style>
  <w:style w:type="character" w:customStyle="1" w:styleId="WW8Num54z1">
    <w:name w:val="WW8Num54z1"/>
    <w:qFormat/>
    <w:rPr>
      <w:rFonts w:ascii="OpenSymbol" w:eastAsia="OpenSymbol" w:hAnsi="OpenSymbol" w:cs="OpenSymbol"/>
    </w:rPr>
  </w:style>
  <w:style w:type="character" w:customStyle="1" w:styleId="WW8Num53z1">
    <w:name w:val="WW8Num53z1"/>
    <w:qFormat/>
    <w:rPr>
      <w:rFonts w:ascii="OpenSymbol" w:eastAsia="OpenSymbol" w:hAnsi="OpenSymbol" w:cs="OpenSymbol"/>
    </w:rPr>
  </w:style>
  <w:style w:type="character" w:customStyle="1" w:styleId="WW8Num51z1">
    <w:name w:val="WW8Num51z1"/>
    <w:qFormat/>
    <w:rPr>
      <w:rFonts w:ascii="OpenSymbol" w:eastAsia="OpenSymbol" w:hAnsi="OpenSymbol" w:cs="OpenSymbol"/>
    </w:rPr>
  </w:style>
  <w:style w:type="character" w:customStyle="1" w:styleId="WW8Num50z1">
    <w:name w:val="WW8Num50z1"/>
    <w:qFormat/>
    <w:rPr>
      <w:rFonts w:ascii="OpenSymbol" w:eastAsia="OpenSymbol" w:hAnsi="OpenSymbol" w:cs="OpenSymbol"/>
    </w:rPr>
  </w:style>
  <w:style w:type="character" w:customStyle="1" w:styleId="WW8Num49z1">
    <w:name w:val="WW8Num49z1"/>
    <w:qFormat/>
    <w:rPr>
      <w:rFonts w:ascii="OpenSymbol" w:eastAsia="OpenSymbol" w:hAnsi="OpenSymbol" w:cs="OpenSymbol"/>
    </w:rPr>
  </w:style>
  <w:style w:type="character" w:customStyle="1" w:styleId="WW8Num48z1">
    <w:name w:val="WW8Num48z1"/>
    <w:qFormat/>
    <w:rPr>
      <w:rFonts w:ascii="OpenSymbol" w:eastAsia="OpenSymbol" w:hAnsi="OpenSymbol" w:cs="OpenSymbol"/>
    </w:rPr>
  </w:style>
  <w:style w:type="character" w:customStyle="1" w:styleId="WW8Num47z1">
    <w:name w:val="WW8Num47z1"/>
    <w:qFormat/>
    <w:rPr>
      <w:rFonts w:ascii="OpenSymbol" w:eastAsia="OpenSymbol" w:hAnsi="OpenSymbol" w:cs="OpenSymbol"/>
    </w:rPr>
  </w:style>
  <w:style w:type="character" w:customStyle="1" w:styleId="WW8Num45z1">
    <w:name w:val="WW8Num45z1"/>
    <w:qFormat/>
    <w:rPr>
      <w:rFonts w:ascii="OpenSymbol" w:eastAsia="OpenSymbol" w:hAnsi="OpenSymbol" w:cs="OpenSymbol"/>
    </w:rPr>
  </w:style>
  <w:style w:type="character" w:customStyle="1" w:styleId="WW8Num43z1">
    <w:name w:val="WW8Num43z1"/>
    <w:qFormat/>
    <w:rPr>
      <w:rFonts w:ascii="OpenSymbol" w:eastAsia="OpenSymbol" w:hAnsi="OpenSymbol" w:cs="OpenSymbol"/>
    </w:rPr>
  </w:style>
  <w:style w:type="character" w:customStyle="1" w:styleId="WW8Num42z1">
    <w:name w:val="WW8Num42z1"/>
    <w:qFormat/>
    <w:rPr>
      <w:rFonts w:ascii="OpenSymbol" w:eastAsia="OpenSymbol" w:hAnsi="OpenSymbol" w:cs="OpenSymbol"/>
    </w:rPr>
  </w:style>
  <w:style w:type="character" w:customStyle="1" w:styleId="WW8Num41z1">
    <w:name w:val="WW8Num41z1"/>
    <w:qFormat/>
    <w:rPr>
      <w:rFonts w:ascii="OpenSymbol" w:eastAsia="OpenSymbol" w:hAnsi="OpenSymbol" w:cs="OpenSymbol"/>
    </w:rPr>
  </w:style>
  <w:style w:type="character" w:customStyle="1" w:styleId="WW8Num40z1">
    <w:name w:val="WW8Num40z1"/>
    <w:qFormat/>
    <w:rPr>
      <w:rFonts w:ascii="OpenSymbol" w:eastAsia="OpenSymbol" w:hAnsi="OpenSymbol" w:cs="OpenSymbol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WW8Num46z1">
    <w:name w:val="WW8Num46z1"/>
    <w:qFormat/>
    <w:rPr>
      <w:rFonts w:ascii="OpenSymbol" w:hAnsi="OpenSymbol" w:cs="OpenSymbol"/>
    </w:rPr>
  </w:style>
  <w:style w:type="character" w:customStyle="1" w:styleId="WW8Num46z0">
    <w:name w:val="WW8Num46z0"/>
    <w:qFormat/>
    <w:rPr>
      <w:rFonts w:ascii="Symbol" w:eastAsia="Times New Roman" w:hAnsi="Symbol" w:cs="OpenSymbol"/>
      <w:color w:val="auto"/>
      <w:sz w:val="28"/>
      <w:szCs w:val="28"/>
    </w:rPr>
  </w:style>
  <w:style w:type="character" w:customStyle="1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customStyle="1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 w:cs="Wingdings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eastAsia="Wingdings" w:hAnsi="Wingdings" w:cs="Wingdings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eastAsia="Wingdings" w:hAnsi="Wingdings" w:cs="Wingdings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eastAsia="Wingdings" w:hAnsi="Wingdings" w:cs="Wingdings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eastAsia="Wingdings" w:hAnsi="Wingdings" w:cs="Wingdings"/>
      <w:sz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eastAsia="Wingdings" w:hAnsi="Wingdings" w:cs="Wingdings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eastAsia="Wingdings" w:hAnsi="Wingdings" w:cs="Wingdings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eastAsia="Wingdings" w:hAnsi="Wingdings" w:cs="Wingdings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eastAsia="Wingdings" w:hAnsi="Wingdings" w:cs="Wingdings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eastAsia="Wingdings" w:hAnsi="Wingdings" w:cs="Wingdings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customStyle="1" w:styleId="WW8Num88z3">
    <w:name w:val="WW8Num88z3"/>
    <w:qFormat/>
    <w:rPr>
      <w:rFonts w:ascii="Wingdings" w:eastAsia="OpenSymbol" w:hAnsi="Wingdings" w:cs="Wingdings"/>
      <w:w w:val="100"/>
      <w:sz w:val="24"/>
      <w:em w:val="none"/>
    </w:rPr>
  </w:style>
  <w:style w:type="character" w:customStyle="1" w:styleId="WW8Num88z1">
    <w:name w:val="WW8Num88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96z1">
    <w:name w:val="WW8Num96z1"/>
    <w:qFormat/>
    <w:rPr>
      <w:rFonts w:ascii="OpenSymbol" w:eastAsia="OpenSymbol" w:hAnsi="OpenSymbol" w:cs="OpenSymbol"/>
      <w:w w:val="100"/>
      <w:sz w:val="24"/>
      <w:em w:val="none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Fuentedeprrafopredeter18">
    <w:name w:val="Fuente de párrafo predeter.18"/>
    <w:qFormat/>
  </w:style>
  <w:style w:type="character" w:customStyle="1" w:styleId="Fuentedeprrafopredeter19">
    <w:name w:val="Fuente de párrafo predeter.19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/>
      <w:sz w:val="20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font68"/>
      <w:sz w:val="22"/>
      <w:szCs w:val="21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LO-normal10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pgrafe4">
    <w:name w:val="Epígrafe4"/>
    <w:basedOn w:val="Normal"/>
    <w:qFormat/>
    <w:pPr>
      <w:spacing w:before="120" w:after="120"/>
    </w:pPr>
    <w:rPr>
      <w:i/>
      <w:iCs/>
    </w:rPr>
  </w:style>
  <w:style w:type="paragraph" w:customStyle="1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9">
    <w:name w:val="Título19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83</cp:revision>
  <dcterms:created xsi:type="dcterms:W3CDTF">2023-05-25T09:47:00Z</dcterms:created>
  <dcterms:modified xsi:type="dcterms:W3CDTF">2023-05-25T09:50:00Z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