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4FBB" w:rsidRDefault="00815ACA">
      <w:r>
        <w:rPr>
          <w:rStyle w:val="Destaquemayor"/>
          <w:rFonts w:ascii="Arial" w:hAnsi="Arial" w:cs="Arial"/>
          <w:sz w:val="36"/>
          <w:szCs w:val="36"/>
        </w:rPr>
        <w:t xml:space="preserve">El Ayuntamiento traslada a sectores beneficiarios los requisitos para optar al fondo de ayudas de 510.000 euros </w:t>
      </w:r>
    </w:p>
    <w:p w:rsidR="00D84FBB" w:rsidRDefault="00D84FBB">
      <w:pPr>
        <w:rPr>
          <w:rStyle w:val="Destaquemayor"/>
          <w:rFonts w:ascii="Arial" w:hAnsi="Arial" w:cs="Arial"/>
          <w:sz w:val="36"/>
          <w:szCs w:val="36"/>
        </w:rPr>
      </w:pPr>
    </w:p>
    <w:p w:rsidR="00D84FBB" w:rsidRDefault="00815ACA">
      <w:r>
        <w:rPr>
          <w:rStyle w:val="Destaquemayor"/>
          <w:rFonts w:ascii="Arial" w:hAnsi="Arial" w:cs="Arial"/>
          <w:b w:val="0"/>
          <w:bCs w:val="0"/>
          <w:sz w:val="30"/>
          <w:szCs w:val="30"/>
        </w:rPr>
        <w:t>Mamen Sánchez subraya "que contribuirán a apoyar a nuestras empresas, dinamizar la economía local y potenciar las  oportunidades de empleo"</w:t>
      </w:r>
    </w:p>
    <w:p w:rsidR="00D84FBB" w:rsidRDefault="00D84FBB">
      <w:pPr>
        <w:rPr>
          <w:rFonts w:ascii="Arial" w:eastAsia="Tahoma" w:hAnsi="Arial" w:cs="Arial"/>
          <w:sz w:val="30"/>
          <w:szCs w:val="30"/>
        </w:rPr>
      </w:pPr>
    </w:p>
    <w:p w:rsidR="00D84FBB" w:rsidRDefault="00D84FBB">
      <w:pPr>
        <w:rPr>
          <w:rFonts w:ascii="Arial" w:eastAsia="Tahoma" w:hAnsi="Arial" w:cs="Arial"/>
          <w:sz w:val="32"/>
          <w:szCs w:val="32"/>
        </w:rPr>
      </w:pPr>
    </w:p>
    <w:p w:rsidR="00D84FBB" w:rsidRDefault="00815ACA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b/>
          <w:bCs/>
          <w:szCs w:val="24"/>
        </w:rPr>
        <w:t>29 de noviembre de 2022.</w:t>
      </w:r>
      <w:r>
        <w:rPr>
          <w:rFonts w:ascii="Arial" w:eastAsia="Tahoma" w:hAnsi="Arial" w:cs="Arial"/>
          <w:szCs w:val="24"/>
        </w:rPr>
        <w:t xml:space="preserve"> La alcaldesa de Jerez, Mamen Sánchez,  acompañada por la teniente de alcaldesa, Laura Álvarez, ha mantenido un encuentro con las entidades beneficiarias de las ayudas procedentes del Fondo de Contingencia a cuyos representantes se</w:t>
      </w:r>
      <w:r>
        <w:rPr>
          <w:rFonts w:ascii="Arial" w:eastAsia="Tahoma" w:hAnsi="Arial" w:cs="Arial"/>
          <w:szCs w:val="24"/>
        </w:rPr>
        <w:t xml:space="preserve"> les ha trasladado los requisitos para optar al fondo de ayudas de 510.000 euros. En este sentido, Mamen Sánchez ha subrayado que "estas aportaciones </w:t>
      </w:r>
      <w:r>
        <w:rPr>
          <w:rStyle w:val="Destaquemayor"/>
          <w:rFonts w:ascii="Arial" w:hAnsi="Arial" w:cs="Arial"/>
          <w:b w:val="0"/>
          <w:bCs w:val="0"/>
          <w:szCs w:val="24"/>
        </w:rPr>
        <w:t xml:space="preserve">contribuirán a apoyar a nuestras empresas, dinamizar la economía local y potenciar las </w:t>
      </w:r>
      <w:r>
        <w:rPr>
          <w:rStyle w:val="Destaquemayor"/>
          <w:rFonts w:ascii="Arial" w:hAnsi="Arial" w:cs="Arial"/>
          <w:b w:val="0"/>
          <w:bCs w:val="0"/>
          <w:szCs w:val="24"/>
        </w:rPr>
        <w:t xml:space="preserve">oportunidades de </w:t>
      </w:r>
      <w:r>
        <w:rPr>
          <w:rStyle w:val="Destaquemayor"/>
          <w:rFonts w:ascii="Arial" w:hAnsi="Arial" w:cs="Arial"/>
          <w:b w:val="0"/>
          <w:bCs w:val="0"/>
          <w:szCs w:val="24"/>
        </w:rPr>
        <w:t>empleo".</w:t>
      </w:r>
    </w:p>
    <w:p w:rsidR="00D84FBB" w:rsidRDefault="00815ACA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>Cabe detallar que estas subvenciones nominativas se enmarcan en el Fondo de Contingencia regulado en el artículo 31 de la Ley Orgánica 2/2012, de 27 de septiembre, teniendo en cuenta que la situación económica derivada de la pandemia del COVID, se</w:t>
      </w:r>
      <w:r>
        <w:rPr>
          <w:rFonts w:ascii="Arial" w:eastAsia="Tahoma" w:hAnsi="Arial" w:cs="Arial"/>
          <w:szCs w:val="24"/>
        </w:rPr>
        <w:t xml:space="preserve"> ha visto agravada, como recoge el Real Decreto-ley 11/2022, de 25 de junio, por la "invasión de Ucrania por parte de Rusia a finales de febrero, está generando importantes consecuencias en todos los órdenes, tanto desde el punto de vista humanitario como </w:t>
      </w:r>
      <w:r>
        <w:rPr>
          <w:rFonts w:ascii="Arial" w:eastAsia="Tahoma" w:hAnsi="Arial" w:cs="Arial"/>
          <w:szCs w:val="24"/>
        </w:rPr>
        <w:t>económico".</w:t>
      </w:r>
    </w:p>
    <w:p w:rsidR="00D84FBB" w:rsidRDefault="00815ACA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>Es por ello, que el impacto de la evolución del Índice de Precios al Consumo, con la crisis energética y el consiguiente aumento de los costes de la vida han llevado al Ayuntamiento a hacer frente a situaciones de vulnerabilidad social y económ</w:t>
      </w:r>
      <w:r>
        <w:rPr>
          <w:rFonts w:ascii="Arial" w:eastAsia="Tahoma" w:hAnsi="Arial" w:cs="Arial"/>
          <w:szCs w:val="24"/>
        </w:rPr>
        <w:t>ica teniendo como base los informes de los servicios de Movilidad y Fiestas; Turismo, Comercio y Consumo, y Cultura, Jerez Capital Cultural y Rehabilitación del Patrimonio Histórico.</w:t>
      </w:r>
    </w:p>
    <w:p w:rsidR="00D84FBB" w:rsidRDefault="00D84FBB">
      <w:pPr>
        <w:spacing w:after="170"/>
        <w:jc w:val="both"/>
        <w:rPr>
          <w:szCs w:val="24"/>
        </w:rPr>
      </w:pPr>
    </w:p>
    <w:p w:rsidR="00D84FBB" w:rsidRDefault="00815ACA">
      <w:pPr>
        <w:spacing w:after="170"/>
        <w:jc w:val="both"/>
        <w:rPr>
          <w:b/>
          <w:bCs/>
        </w:rPr>
      </w:pPr>
      <w:r>
        <w:rPr>
          <w:rFonts w:ascii="Arial" w:eastAsia="Tahoma" w:hAnsi="Arial" w:cs="Arial"/>
          <w:b/>
          <w:bCs/>
          <w:szCs w:val="24"/>
        </w:rPr>
        <w:t>15 entidades beneficiarias</w:t>
      </w:r>
    </w:p>
    <w:p w:rsidR="00D84FBB" w:rsidRDefault="00815ACA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 xml:space="preserve">De esta manera, se consignan 510.000 euros a </w:t>
      </w:r>
      <w:r>
        <w:rPr>
          <w:rFonts w:ascii="Arial" w:eastAsia="Tahoma" w:hAnsi="Arial" w:cs="Arial"/>
          <w:szCs w:val="24"/>
        </w:rPr>
        <w:t xml:space="preserve">repartir entre 15 </w:t>
      </w:r>
      <w:proofErr w:type="gramStart"/>
      <w:r>
        <w:rPr>
          <w:rFonts w:ascii="Arial" w:eastAsia="Tahoma" w:hAnsi="Arial" w:cs="Arial"/>
          <w:szCs w:val="24"/>
        </w:rPr>
        <w:t>colectivos</w:t>
      </w:r>
      <w:proofErr w:type="gramEnd"/>
      <w:r>
        <w:rPr>
          <w:rFonts w:ascii="Arial" w:eastAsia="Tahoma" w:hAnsi="Arial" w:cs="Arial"/>
          <w:szCs w:val="24"/>
        </w:rPr>
        <w:t xml:space="preserve"> atendiendo a su representatividad considerada como el número de socios con los que cuentan cada una de ellas.</w:t>
      </w:r>
    </w:p>
    <w:p w:rsidR="00D84FBB" w:rsidRDefault="00815ACA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>Las entidades beneficiarias son vinculadas al comercio: la Asociación de Comerciantes y Empresarios de la Zona Sur de</w:t>
      </w:r>
      <w:r>
        <w:rPr>
          <w:rFonts w:ascii="Arial" w:eastAsia="Tahoma" w:hAnsi="Arial" w:cs="Arial"/>
          <w:szCs w:val="24"/>
        </w:rPr>
        <w:t xml:space="preserve"> Jerez, </w:t>
      </w:r>
      <w:proofErr w:type="spellStart"/>
      <w:r>
        <w:rPr>
          <w:rFonts w:ascii="Arial" w:eastAsia="Tahoma" w:hAnsi="Arial" w:cs="Arial"/>
          <w:szCs w:val="24"/>
        </w:rPr>
        <w:t>Adecosur</w:t>
      </w:r>
      <w:proofErr w:type="spellEnd"/>
      <w:r>
        <w:rPr>
          <w:rFonts w:ascii="Arial" w:eastAsia="Tahoma" w:hAnsi="Arial" w:cs="Arial"/>
          <w:szCs w:val="24"/>
        </w:rPr>
        <w:t xml:space="preserve">; Asociación de Comerciantes del Parque Atlántico, </w:t>
      </w:r>
      <w:proofErr w:type="spellStart"/>
      <w:r>
        <w:rPr>
          <w:rFonts w:ascii="Arial" w:eastAsia="Tahoma" w:hAnsi="Arial" w:cs="Arial"/>
          <w:szCs w:val="24"/>
        </w:rPr>
        <w:t>Acat</w:t>
      </w:r>
      <w:proofErr w:type="spellEnd"/>
      <w:r>
        <w:rPr>
          <w:rFonts w:ascii="Arial" w:eastAsia="Tahoma" w:hAnsi="Arial" w:cs="Arial"/>
          <w:szCs w:val="24"/>
        </w:rPr>
        <w:t xml:space="preserve">; Asociación de Comerciantes del Centro de Jerez, </w:t>
      </w:r>
      <w:proofErr w:type="spellStart"/>
      <w:r>
        <w:rPr>
          <w:rFonts w:ascii="Arial" w:eastAsia="Tahoma" w:hAnsi="Arial" w:cs="Arial"/>
          <w:szCs w:val="24"/>
        </w:rPr>
        <w:t>Acoje</w:t>
      </w:r>
      <w:proofErr w:type="spellEnd"/>
      <w:r>
        <w:rPr>
          <w:rFonts w:ascii="Arial" w:eastAsia="Tahoma" w:hAnsi="Arial" w:cs="Arial"/>
          <w:szCs w:val="24"/>
        </w:rPr>
        <w:t xml:space="preserve">, en sus ramas de comercio y </w:t>
      </w:r>
      <w:r>
        <w:rPr>
          <w:rFonts w:ascii="Arial" w:eastAsia="Tahoma" w:hAnsi="Arial" w:cs="Arial"/>
          <w:szCs w:val="24"/>
        </w:rPr>
        <w:lastRenderedPageBreak/>
        <w:t>de hostelería; Asociación de Comerciantes "La Plaza"; Asociación Empresarial de Hostelería del Términ</w:t>
      </w:r>
      <w:r>
        <w:rPr>
          <w:rFonts w:ascii="Arial" w:eastAsia="Tahoma" w:hAnsi="Arial" w:cs="Arial"/>
          <w:szCs w:val="24"/>
        </w:rPr>
        <w:t xml:space="preserve">o Municipal de Jerez; Federación Provincial de Empresarios de Hostelería, </w:t>
      </w:r>
      <w:proofErr w:type="spellStart"/>
      <w:r>
        <w:rPr>
          <w:rFonts w:ascii="Arial" w:eastAsia="Tahoma" w:hAnsi="Arial" w:cs="Arial"/>
          <w:szCs w:val="24"/>
        </w:rPr>
        <w:t>Horeca</w:t>
      </w:r>
      <w:proofErr w:type="spellEnd"/>
      <w:r>
        <w:rPr>
          <w:rFonts w:ascii="Arial" w:eastAsia="Tahoma" w:hAnsi="Arial" w:cs="Arial"/>
          <w:szCs w:val="24"/>
        </w:rPr>
        <w:t xml:space="preserve">; Asociación Unión de Comerciantes de Jerez, </w:t>
      </w:r>
      <w:proofErr w:type="spellStart"/>
      <w:r>
        <w:rPr>
          <w:rFonts w:ascii="Arial" w:eastAsia="Tahoma" w:hAnsi="Arial" w:cs="Arial"/>
          <w:szCs w:val="24"/>
        </w:rPr>
        <w:t>Asunico</w:t>
      </w:r>
      <w:proofErr w:type="spellEnd"/>
      <w:r>
        <w:rPr>
          <w:rFonts w:ascii="Arial" w:eastAsia="Tahoma" w:hAnsi="Arial" w:cs="Arial"/>
          <w:szCs w:val="24"/>
        </w:rPr>
        <w:t>, en sus ramas de comercio y de hostelería, y la Asociación Clúster Turístico Destino Jerez. El montante de las subvenciones</w:t>
      </w:r>
      <w:r>
        <w:rPr>
          <w:rFonts w:ascii="Arial" w:eastAsia="Tahoma" w:hAnsi="Arial" w:cs="Arial"/>
          <w:szCs w:val="24"/>
        </w:rPr>
        <w:t xml:space="preserve"> de este aparatado asciende a 340.000 euros.</w:t>
      </w:r>
    </w:p>
    <w:p w:rsidR="00D84FBB" w:rsidRDefault="00815ACA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 xml:space="preserve">Desde el Servicio Municipal de Movilidad y Fiestas la beneficiaria es la Asociación Unión Jerezana del Taxi, </w:t>
      </w:r>
      <w:proofErr w:type="spellStart"/>
      <w:r>
        <w:rPr>
          <w:rFonts w:ascii="Arial" w:eastAsia="Tahoma" w:hAnsi="Arial" w:cs="Arial"/>
          <w:szCs w:val="24"/>
        </w:rPr>
        <w:t>Teletaxi</w:t>
      </w:r>
      <w:proofErr w:type="spellEnd"/>
      <w:r>
        <w:rPr>
          <w:rFonts w:ascii="Arial" w:eastAsia="Tahoma" w:hAnsi="Arial" w:cs="Arial"/>
          <w:szCs w:val="24"/>
        </w:rPr>
        <w:t>, por un importe global de 40.000 euros.</w:t>
      </w:r>
    </w:p>
    <w:p w:rsidR="00D84FBB" w:rsidRDefault="00815ACA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>Por su parte, desde el Servicio de  Cultura, Jerez Ca</w:t>
      </w:r>
      <w:r>
        <w:rPr>
          <w:rFonts w:ascii="Arial" w:eastAsia="Tahoma" w:hAnsi="Arial" w:cs="Arial"/>
          <w:szCs w:val="24"/>
        </w:rPr>
        <w:t xml:space="preserve">pital Cultural y Rehabilitación del Patrimonio Histórico, se tramita las subvenciones a la Asociación Flamenca </w:t>
      </w:r>
      <w:proofErr w:type="spellStart"/>
      <w:r>
        <w:rPr>
          <w:rFonts w:ascii="Arial" w:eastAsia="Tahoma" w:hAnsi="Arial" w:cs="Arial"/>
          <w:szCs w:val="24"/>
        </w:rPr>
        <w:t>Unlimited</w:t>
      </w:r>
      <w:proofErr w:type="spellEnd"/>
      <w:r>
        <w:rPr>
          <w:rFonts w:ascii="Arial" w:eastAsia="Tahoma" w:hAnsi="Arial" w:cs="Arial"/>
          <w:szCs w:val="24"/>
        </w:rPr>
        <w:t>, Federación Local de Peñas Flamencas de Jerez, Asociación Profesional de Escuelas de Flamenco de Jerez y la Federación Provincial de Pe</w:t>
      </w:r>
      <w:r>
        <w:rPr>
          <w:rFonts w:ascii="Arial" w:eastAsia="Tahoma" w:hAnsi="Arial" w:cs="Arial"/>
          <w:szCs w:val="24"/>
        </w:rPr>
        <w:t>ñas Flamencas de Cádiz, por un importe global de 130.000 euros.</w:t>
      </w:r>
    </w:p>
    <w:p w:rsidR="00D84FBB" w:rsidRDefault="00815ACA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>Cada una estas entidades deberá presentar su proyectos inicial para el acceso a la subvención que le corresponda en función del número de asociados y proceder posteriormente a la justificación</w:t>
      </w:r>
      <w:r>
        <w:rPr>
          <w:rFonts w:ascii="Arial" w:eastAsia="Tahoma" w:hAnsi="Arial" w:cs="Arial"/>
          <w:szCs w:val="24"/>
        </w:rPr>
        <w:t xml:space="preserve"> pertinente de gastos por la cantidad subvencionada.</w:t>
      </w:r>
    </w:p>
    <w:p w:rsidR="00D84FBB" w:rsidRDefault="00D84FBB">
      <w:pPr>
        <w:spacing w:after="170"/>
        <w:jc w:val="both"/>
        <w:rPr>
          <w:szCs w:val="24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63"/>
      </w:tblGrid>
      <w:tr w:rsidR="00D84FBB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BB" w:rsidRDefault="00815ACA">
            <w:pPr>
              <w:pStyle w:val="Contenidodelatabla"/>
              <w:widowControl w:val="0"/>
              <w:rPr>
                <w:rFonts w:ascii="Arial" w:hAnsi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Se adjunta fotografía.</w:t>
            </w:r>
          </w:p>
        </w:tc>
      </w:tr>
    </w:tbl>
    <w:p w:rsidR="00D84FBB" w:rsidRDefault="00D84FBB">
      <w:pPr>
        <w:spacing w:after="170"/>
        <w:jc w:val="both"/>
        <w:rPr>
          <w:szCs w:val="24"/>
        </w:rPr>
      </w:pPr>
    </w:p>
    <w:p w:rsidR="00D84FBB" w:rsidRDefault="00815ACA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 xml:space="preserve">      </w:t>
      </w:r>
      <w:bookmarkStart w:id="0" w:name="_GoBack"/>
      <w:bookmarkEnd w:id="0"/>
    </w:p>
    <w:sectPr w:rsidR="00D84FBB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5ACA">
      <w:r>
        <w:separator/>
      </w:r>
    </w:p>
  </w:endnote>
  <w:endnote w:type="continuationSeparator" w:id="0">
    <w:p w:rsidR="00000000" w:rsidRDefault="0081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BB" w:rsidRDefault="00D84FBB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5ACA">
      <w:r>
        <w:separator/>
      </w:r>
    </w:p>
  </w:footnote>
  <w:footnote w:type="continuationSeparator" w:id="0">
    <w:p w:rsidR="00000000" w:rsidRDefault="00815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BB" w:rsidRDefault="00D84FBB">
    <w:pPr>
      <w:pStyle w:val="Encabezado"/>
      <w:rPr>
        <w:sz w:val="26"/>
        <w:szCs w:val="26"/>
        <w:u w:val="single"/>
        <w:lang w:val="x-none" w:eastAsia="x-none"/>
      </w:rPr>
    </w:pPr>
  </w:p>
  <w:p w:rsidR="00D84FBB" w:rsidRDefault="00815ACA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FBB"/>
    <w:rsid w:val="00815ACA"/>
    <w:rsid w:val="00D8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32151-BB52-43BF-A040-7A5AAC66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ablanormal1">
    <w:name w:val="Tabla normal1"/>
    <w:qFormat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186</cp:revision>
  <cp:lastPrinted>2022-09-02T11:57:00Z</cp:lastPrinted>
  <dcterms:created xsi:type="dcterms:W3CDTF">2022-05-19T10:09:00Z</dcterms:created>
  <dcterms:modified xsi:type="dcterms:W3CDTF">2022-11-29T14:20:00Z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