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3C8" w:rsidRDefault="00EB7B26">
      <w:r>
        <w:t xml:space="preserve"> 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rPr>
          <w:sz w:val="40"/>
          <w:szCs w:val="40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 xml:space="preserve">El Plan Estratégico de Turismo arranca con una encuesta que confirma que la cultura del vino es el recurso </w:t>
      </w:r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 xml:space="preserve">más </w:t>
      </w:r>
      <w:proofErr w:type="spellStart"/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>identitario</w:t>
      </w:r>
      <w:proofErr w:type="spellEnd"/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 xml:space="preserve"> y </w:t>
      </w:r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>por el que debe apostar Jerez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rPr>
          <w:rFonts w:ascii="Arial Narrow" w:eastAsia="Arial Narrow" w:hAnsi="Arial Narrow" w:cs="Arial Narrow"/>
          <w:b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>Los profesionales de la Mesa del Turismo participantes en este estudio destacan también el caballo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y el flamenco como elementos de gran singularidad y relevancia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28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de marzo de 2024.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Con motivo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del inicio de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la redacción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del Plan Estratégico de Turismo de Jerez 2025-2027, el pasado día 15 de marzo, los miembros de la Mesa del Turismo participaron en un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a encuesta diseñada para conocer su opinión acerca de la situación actual de los recursos y atractivos del destino o las apuestas de futuro que la ciudad debe priorizar, entre otras cuestiones.  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El resultado de esta dinámica de trabajo realizada entre los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representantes de la industria turística de la ciudad confirma que, en su opinión, todo lo relacionado con la cultura enológica de Jerez y sus bodegas, constituye el recurso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identitario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más importante para el turismo, el atractivo actualmente más desarrol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lado y el producto por el que, prioritariamente, Jerez debería apostar. El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enoturismo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es también, según esta encuesta, el elemento que constituye la mayor fortaleza del turismo de la ciudad y el que la hace verdaderamente única.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Tras las bodegas y el patri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monio del vino, como elemento estrella para la industria turística de Jerez, los miembros de la Mesa del Turismo han dado al caballo y al flamenco los siguientes puestos más relevantes, en cuanto a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elementos culturales. 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Los participantes en la encuesta va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loran también, aunque en menor medida, otros atractivos de Jerez, según su singularidad e importancia, priorizando por orden el Circuito de Velocidad, el patrimonio histórico y cultural, las fiestas y eventos, la gastronomía, los museos y centros temáticos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y en último lugar, los espacios naturales.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En cuanto al grado de desarrollo de estos recursos turísticos, los profesionales encuestados  de la Mesa del Turismo consideran que en una escala del 1 al 10, el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enoturismo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se encuentra en un 7,8, seguido del tur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ismo de eventos (Semana Santa, Navidad…) con un 7,6, el turismo ecuestre con un 7,5 y el gastronómico con un 7,4. Más atrás quedaría el desarrollo de actividades atractivas como el flamenco con un 6,9, el turismo deportivo y de motor, con un 6,5, el turism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o ligado a la cultura y al patrimonio histórico y artístico con un 6,2 y en el último lugar el turismo de congresos, con un 5,3.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Otra cuestión que se aborda en esta encuesta, destinada a pulsar la opinión de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lastRenderedPageBreak/>
        <w:t>la industria del turismo de Jerez de cara a la 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laboración del  Plan Estratégico, es por qué productos turísticos  debería apostar Jerez. En este sentido, el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enoturismo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y la ruta de vino son los reclamos turísticos más seleccionados para su promoción, con el 20% de los apoyos. En este ranking le siguen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el turismo gastronómico con el 15%, el turismo de congresos y el ecuestre con el 12%, el turismo cultural y del flamenco con el 11%, el turismo de eventos con el 10% y el deportivo con el 9%.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Se les pregunta igualmente a las persona encuestadas por las pri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ncipales fortalezas de Jerez como destino turístico. La más valorada es la cultura del vino, seguida de la gastronomía, las tradiciones, los recursos patrimoniales, la situación estratégica y la hospitalidad de los jerezanos, el clima privilegiado, el ampl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io calendario de eventos de la ciudad y en último lugar se sitúan las infraestructuras y la riqueza natural de su entorno.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Otras fortalezas a las que han hecho referencia los participantes en la encuesta se refieren al Circuito de Velocidad como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instalación deportiva de gran reputación internacional y que concentra cada año el interés de miles de visitantes, así como las aptitudes de Jerez para las actividades deportivas y la organización de eventos relacionados con el motor y otros deportes.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Igua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lmente, se cuestiona a los miembros de la Mesa del Turismo sobre las principales debilidades de Jerez, a la hora de impulsar el destino. Respecto a este asunto, la mayor parte de los profesionales encuestados estiman que la conectividad actual de la ciudad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limita la capacidad de Jerez de promocionarse, entendiéndose que, a su juicio, deberían incrementarse las conexiones nacionales e internacionales por aire y ferrocarril. A través de  estos datos, la industria del turismo también demanda más promoción naci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onal e internacional, mejores infraestructuras y servicios y un mejor posicionamiento de Jerez.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Respecto a las perspectivas de estos profesionales sobre las mejoras que este Plan Estratégico de Turismo 2025-2027 puede reportar a los agentes turísticos y a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toda la ciudad, las personas encuestadas esperan en primer lugar un avance de la promoción turística, en segundo lugar la conservación y puesta en valor del patrimonio y la mejora de las infraestructuras y los servicios públicos. Le  siguen el crecimiento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de la oferta turística experiencial, la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desestacionalización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de la demanda, el progreso en cuanto a calidad de vida de la población local y en último lugar señalan el aumento de la competitividad del sector y el embellecimiento del municipio y su entorno.</w:t>
      </w:r>
    </w:p>
    <w:p w:rsidR="00DD13C8" w:rsidRDefault="00EB7B26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En cuanto a qué debe aspirar el nuevo Plan Estratégico de Turismo 2025-2027, los profesionales de la Mesa del Turismo responden que a la internacionalización.</w:t>
      </w:r>
    </w:p>
    <w:p w:rsidR="00DD13C8" w:rsidRDefault="00DD13C8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sectPr w:rsidR="00DD13C8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7B26">
      <w:r>
        <w:separator/>
      </w:r>
    </w:p>
  </w:endnote>
  <w:endnote w:type="continuationSeparator" w:id="0">
    <w:p w:rsidR="00000000" w:rsidRDefault="00EB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8" w:rsidRDefault="00EB7B26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7B26">
      <w:r>
        <w:separator/>
      </w:r>
    </w:p>
  </w:footnote>
  <w:footnote w:type="continuationSeparator" w:id="0">
    <w:p w:rsidR="00000000" w:rsidRDefault="00EB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8" w:rsidRDefault="00EB7B26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79" t="-727" r="-5779" b="-727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8"/>
    <w:rsid w:val="00DD13C8"/>
    <w:rsid w:val="00E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AE26-CB74-45D3-A90F-F0274BC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widowControl w:val="0"/>
      <w:spacing w:before="200"/>
      <w:outlineLvl w:val="1"/>
    </w:pPr>
    <w:rPr>
      <w:rFonts w:ascii="Liberation Serif" w:eastAsia="Liberation Serif" w:hAnsi="Liberation Serif" w:cs="Liberation Serif"/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qFormat/>
    <w:pPr>
      <w:widowControl w:val="0"/>
      <w:spacing w:before="120" w:after="60"/>
      <w:outlineLvl w:val="4"/>
    </w:pPr>
    <w:rPr>
      <w:rFonts w:ascii="Liberation Serif" w:eastAsia="Liberation Serif" w:hAnsi="Liberation Serif" w:cs="Liberation Serif"/>
      <w:b/>
      <w:color w:val="00000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1545"/>
    <w:rPr>
      <w:color w:val="0000FF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uesto">
    <w:name w:val="Title"/>
    <w:basedOn w:val="Normal"/>
    <w:next w:val="Normal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461545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810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Maestro de Pablos</dc:creator>
  <dc:description/>
  <cp:lastModifiedBy>Ana Isabel Maestro de Pablos</cp:lastModifiedBy>
  <cp:revision>18</cp:revision>
  <cp:lastPrinted>2024-03-21T12:14:00Z</cp:lastPrinted>
  <dcterms:created xsi:type="dcterms:W3CDTF">2024-03-15T10:07:00Z</dcterms:created>
  <dcterms:modified xsi:type="dcterms:W3CDTF">2024-03-26T09:41:00Z</dcterms:modified>
  <dc:language>es-ES</dc:language>
</cp:coreProperties>
</file>